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8655B3">
        <w:rPr>
          <w:rFonts w:eastAsia="Times New Roman" w:cs="Times New Roman"/>
          <w:b/>
          <w:bCs/>
          <w:color w:val="000000"/>
          <w:sz w:val="24"/>
          <w:szCs w:val="24"/>
          <w:lang w:val="ru-RU"/>
        </w:rPr>
        <w:t>11.04</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BE1C92" w:rsidRPr="00C90952">
        <w:rPr>
          <w:b/>
          <w:lang w:val="uk-UA"/>
        </w:rPr>
        <w:t xml:space="preserve">за кодом СРУ ДК 021:2015: 09130000-9 </w:t>
      </w:r>
      <w:r w:rsidR="00BE1C92" w:rsidRPr="00C90952">
        <w:rPr>
          <w:rFonts w:eastAsia="Tahoma"/>
          <w:b/>
          <w:bCs/>
          <w:lang w:val="uk-UA" w:eastAsia="zh-CN"/>
        </w:rPr>
        <w:t xml:space="preserve">– </w:t>
      </w:r>
      <w:r w:rsidR="00BE1C92" w:rsidRPr="00C90952">
        <w:rPr>
          <w:b/>
          <w:lang w:val="uk-UA"/>
        </w:rPr>
        <w:t>Нафта і дистиляти</w:t>
      </w:r>
      <w:r w:rsidR="003677DE" w:rsidRPr="00B540B5">
        <w:rPr>
          <w:b/>
          <w:lang w:val="uk-UA"/>
        </w:rPr>
        <w:t>.</w:t>
      </w:r>
    </w:p>
    <w:p w:rsidR="00BE1C92" w:rsidRDefault="00F9404B" w:rsidP="00BE1C92">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0254E">
        <w:rPr>
          <w:b/>
          <w:lang w:val="uk-UA"/>
        </w:rPr>
        <w:t>за кодом СРУ ДК 021:2015: 09132</w:t>
      </w:r>
      <w:r w:rsidR="00BE1C92" w:rsidRPr="00C90952">
        <w:rPr>
          <w:b/>
          <w:lang w:val="uk-UA"/>
        </w:rPr>
        <w:t>000-</w:t>
      </w:r>
      <w:r w:rsidR="0020254E">
        <w:rPr>
          <w:b/>
          <w:lang w:val="uk-UA"/>
        </w:rPr>
        <w:t>3</w:t>
      </w:r>
      <w:r w:rsidR="00BE1C92" w:rsidRPr="00C90952">
        <w:rPr>
          <w:b/>
          <w:lang w:val="uk-UA"/>
        </w:rPr>
        <w:t xml:space="preserve"> </w:t>
      </w:r>
      <w:r w:rsidR="00BE1C92" w:rsidRPr="00C90952">
        <w:rPr>
          <w:rFonts w:eastAsia="Tahoma"/>
          <w:b/>
          <w:bCs/>
          <w:lang w:val="uk-UA" w:eastAsia="zh-CN"/>
        </w:rPr>
        <w:t xml:space="preserve">– </w:t>
      </w:r>
      <w:r w:rsidR="0020254E">
        <w:rPr>
          <w:rFonts w:eastAsia="Tahoma"/>
          <w:b/>
          <w:bCs/>
          <w:lang w:val="uk-UA" w:eastAsia="zh-CN"/>
        </w:rPr>
        <w:t>Бензин</w:t>
      </w:r>
      <w:r w:rsidR="00BE1C92">
        <w:rPr>
          <w:b/>
          <w:lang w:val="uk-UA"/>
        </w:rPr>
        <w:t>.</w:t>
      </w:r>
    </w:p>
    <w:p w:rsidR="009920C2" w:rsidRPr="001F56A4" w:rsidRDefault="0048701B" w:rsidP="00BE1C92">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BE1C92" w:rsidRPr="00C90952">
        <w:rPr>
          <w:rFonts w:eastAsia="Tahoma"/>
          <w:b/>
          <w:bCs/>
          <w:lang w:eastAsia="zh-CN"/>
        </w:rPr>
        <w:t xml:space="preserve">Бензин А-95 </w:t>
      </w:r>
      <w:proofErr w:type="spellStart"/>
      <w:r w:rsidR="00BE1C92" w:rsidRPr="00C90952">
        <w:rPr>
          <w:rFonts w:eastAsia="Tahoma"/>
          <w:bCs/>
          <w:lang w:eastAsia="zh-CN"/>
        </w:rPr>
        <w:t>згідно</w:t>
      </w:r>
      <w:proofErr w:type="spellEnd"/>
      <w:r w:rsidR="00BE1C92" w:rsidRPr="00C90952">
        <w:rPr>
          <w:rFonts w:eastAsia="Tahoma"/>
          <w:bCs/>
          <w:lang w:eastAsia="zh-CN"/>
        </w:rPr>
        <w:t xml:space="preserve"> ДК 021:2015 код 09130000-9 – </w:t>
      </w:r>
      <w:proofErr w:type="spellStart"/>
      <w:r w:rsidR="00BE1C92" w:rsidRPr="00C90952">
        <w:rPr>
          <w:rFonts w:eastAsia="Tahoma"/>
          <w:bCs/>
          <w:lang w:eastAsia="zh-CN"/>
        </w:rPr>
        <w:t>Нафта</w:t>
      </w:r>
      <w:proofErr w:type="spellEnd"/>
      <w:r w:rsidR="00BE1C92" w:rsidRPr="00C90952">
        <w:rPr>
          <w:rFonts w:eastAsia="Tahoma"/>
          <w:bCs/>
          <w:lang w:eastAsia="zh-CN"/>
        </w:rPr>
        <w:t xml:space="preserve"> і </w:t>
      </w:r>
      <w:proofErr w:type="spellStart"/>
      <w:r w:rsidR="00BE1C92" w:rsidRPr="00C90952">
        <w:rPr>
          <w:rFonts w:eastAsia="Tahoma"/>
          <w:bCs/>
          <w:lang w:eastAsia="zh-CN"/>
        </w:rPr>
        <w:t>дистиляти</w:t>
      </w:r>
      <w:proofErr w:type="spellEnd"/>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9923" w:type="dxa"/>
        <w:tblInd w:w="108" w:type="dxa"/>
        <w:tblLook w:val="0000" w:firstRow="0" w:lastRow="0" w:firstColumn="0" w:lastColumn="0" w:noHBand="0" w:noVBand="0"/>
      </w:tblPr>
      <w:tblGrid>
        <w:gridCol w:w="709"/>
        <w:gridCol w:w="5387"/>
        <w:gridCol w:w="1984"/>
        <w:gridCol w:w="1843"/>
      </w:tblGrid>
      <w:tr w:rsidR="00AC3831" w:rsidRPr="00483E9D" w:rsidTr="00BE1C92">
        <w:trPr>
          <w:trHeight w:val="1411"/>
        </w:trPr>
        <w:tc>
          <w:tcPr>
            <w:tcW w:w="709" w:type="dxa"/>
            <w:tcBorders>
              <w:top w:val="single" w:sz="4" w:space="0" w:color="auto"/>
              <w:left w:val="single" w:sz="4" w:space="0" w:color="auto"/>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п/</w:t>
            </w:r>
            <w:proofErr w:type="spellStart"/>
            <w:r w:rsidRPr="00483E9D">
              <w:rPr>
                <w:b/>
                <w:bCs/>
                <w:color w:val="000000"/>
                <w:sz w:val="24"/>
                <w:szCs w:val="24"/>
              </w:rPr>
              <w:t>п</w:t>
            </w:r>
            <w:proofErr w:type="spellEnd"/>
          </w:p>
        </w:tc>
        <w:tc>
          <w:tcPr>
            <w:tcW w:w="5387"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Найменування</w:t>
            </w:r>
          </w:p>
        </w:tc>
        <w:tc>
          <w:tcPr>
            <w:tcW w:w="1984"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xml:space="preserve">Од. </w:t>
            </w:r>
            <w:proofErr w:type="spellStart"/>
            <w:r w:rsidRPr="00483E9D">
              <w:rPr>
                <w:b/>
                <w:bCs/>
                <w:color w:val="000000"/>
                <w:sz w:val="24"/>
                <w:szCs w:val="24"/>
              </w:rPr>
              <w:t>вим</w:t>
            </w:r>
            <w:proofErr w:type="spellEnd"/>
          </w:p>
        </w:tc>
        <w:tc>
          <w:tcPr>
            <w:tcW w:w="1843"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proofErr w:type="spellStart"/>
            <w:r w:rsidRPr="00483E9D">
              <w:rPr>
                <w:b/>
                <w:bCs/>
                <w:color w:val="000000"/>
                <w:sz w:val="24"/>
                <w:szCs w:val="24"/>
              </w:rPr>
              <w:t>К-сть</w:t>
            </w:r>
            <w:proofErr w:type="spellEnd"/>
          </w:p>
        </w:tc>
      </w:tr>
      <w:tr w:rsidR="00AC3831" w:rsidRPr="00483E9D" w:rsidTr="00BE1C92">
        <w:trPr>
          <w:trHeight w:val="593"/>
        </w:trPr>
        <w:tc>
          <w:tcPr>
            <w:tcW w:w="709"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sz w:val="24"/>
                <w:szCs w:val="24"/>
              </w:rPr>
            </w:pPr>
            <w:r w:rsidRPr="00483E9D">
              <w:rPr>
                <w:sz w:val="24"/>
                <w:szCs w:val="24"/>
              </w:rPr>
              <w:t>1</w:t>
            </w:r>
          </w:p>
        </w:tc>
        <w:tc>
          <w:tcPr>
            <w:tcW w:w="5387" w:type="dxa"/>
            <w:tcBorders>
              <w:top w:val="nil"/>
              <w:left w:val="nil"/>
              <w:bottom w:val="single" w:sz="4" w:space="0" w:color="auto"/>
              <w:right w:val="single" w:sz="4" w:space="0" w:color="auto"/>
            </w:tcBorders>
            <w:vAlign w:val="center"/>
          </w:tcPr>
          <w:p w:rsidR="00AC3831" w:rsidRPr="00483E9D" w:rsidRDefault="00BE1C92" w:rsidP="00925206">
            <w:pPr>
              <w:jc w:val="center"/>
              <w:rPr>
                <w:sz w:val="24"/>
                <w:szCs w:val="24"/>
              </w:rPr>
            </w:pPr>
            <w:r>
              <w:rPr>
                <w:sz w:val="24"/>
                <w:szCs w:val="24"/>
              </w:rPr>
              <w:t>Бензин А-95</w:t>
            </w:r>
          </w:p>
        </w:tc>
        <w:tc>
          <w:tcPr>
            <w:tcW w:w="1984" w:type="dxa"/>
            <w:tcBorders>
              <w:top w:val="nil"/>
              <w:left w:val="nil"/>
              <w:bottom w:val="single" w:sz="4" w:space="0" w:color="auto"/>
              <w:right w:val="single" w:sz="4" w:space="0" w:color="auto"/>
            </w:tcBorders>
            <w:noWrap/>
            <w:vAlign w:val="center"/>
          </w:tcPr>
          <w:p w:rsidR="00AC3831" w:rsidRPr="00483E9D" w:rsidRDefault="00BE1C92" w:rsidP="00925206">
            <w:pPr>
              <w:jc w:val="center"/>
              <w:rPr>
                <w:color w:val="000000"/>
                <w:sz w:val="24"/>
                <w:szCs w:val="24"/>
              </w:rPr>
            </w:pPr>
            <w:r>
              <w:rPr>
                <w:color w:val="000000"/>
                <w:sz w:val="24"/>
                <w:szCs w:val="24"/>
              </w:rPr>
              <w:t>л</w:t>
            </w:r>
          </w:p>
        </w:tc>
        <w:tc>
          <w:tcPr>
            <w:tcW w:w="1843" w:type="dxa"/>
            <w:tcBorders>
              <w:top w:val="nil"/>
              <w:left w:val="nil"/>
              <w:bottom w:val="single" w:sz="4" w:space="0" w:color="auto"/>
              <w:right w:val="single" w:sz="4" w:space="0" w:color="auto"/>
            </w:tcBorders>
            <w:noWrap/>
            <w:vAlign w:val="center"/>
          </w:tcPr>
          <w:p w:rsidR="00AC3831" w:rsidRPr="00483E9D" w:rsidRDefault="00BE1C92" w:rsidP="00925206">
            <w:pPr>
              <w:jc w:val="center"/>
              <w:rPr>
                <w:color w:val="000000"/>
                <w:sz w:val="24"/>
                <w:szCs w:val="24"/>
              </w:rPr>
            </w:pPr>
            <w:r>
              <w:rPr>
                <w:color w:val="000000"/>
                <w:sz w:val="24"/>
                <w:szCs w:val="24"/>
              </w:rPr>
              <w:t>30 000</w:t>
            </w:r>
          </w:p>
        </w:tc>
      </w:tr>
    </w:tbl>
    <w:p w:rsidR="00AC3831" w:rsidRDefault="00AC3831" w:rsidP="00AC3831">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DD4B65" w:rsidRPr="00C90952">
        <w:rPr>
          <w:b/>
          <w:bCs/>
          <w:lang w:val="uk-UA"/>
        </w:rPr>
        <w:t>1</w:t>
      </w:r>
      <w:r w:rsidR="00DD4B65" w:rsidRPr="00C90952">
        <w:rPr>
          <w:b/>
          <w:bCs/>
          <w:lang w:val="en-US"/>
        </w:rPr>
        <w:t> </w:t>
      </w:r>
      <w:r w:rsidR="00DD4B65" w:rsidRPr="00C90952">
        <w:rPr>
          <w:b/>
          <w:bCs/>
          <w:lang w:val="uk-UA"/>
        </w:rPr>
        <w:t xml:space="preserve">719 000,00 грн. </w:t>
      </w:r>
      <w:r w:rsidR="00DD4B65" w:rsidRPr="00C90952">
        <w:rPr>
          <w:b/>
          <w:color w:val="000000"/>
          <w:lang w:val="uk-UA"/>
        </w:rPr>
        <w:t>(один мільйон сімсот дев’ятнадцять тисяч гривень 00 коп.) з ПДВ</w:t>
      </w:r>
      <w:r w:rsidR="00E54D38"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DD4B65">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r w:rsidR="00DD4B65">
        <w:rPr>
          <w:rFonts w:cs="Times New Roman"/>
          <w:b/>
          <w:color w:val="000000"/>
          <w:sz w:val="24"/>
          <w:szCs w:val="24"/>
        </w:rPr>
        <w:t>.</w:t>
      </w:r>
    </w:p>
    <w:p w:rsidR="00F9404B" w:rsidRPr="00EE3986" w:rsidRDefault="00E54D38" w:rsidP="000801E9">
      <w:pPr>
        <w:shd w:val="clear" w:color="auto" w:fill="FFFFFF"/>
        <w:spacing w:after="0"/>
        <w:jc w:val="both"/>
        <w:rPr>
          <w:rFonts w:cs="Times New Roman"/>
          <w:b/>
          <w:color w:val="000000"/>
          <w:sz w:val="24"/>
          <w:szCs w:val="24"/>
          <w:lang w:eastAsia="en-US"/>
        </w:rPr>
      </w:pPr>
      <w:r w:rsidRPr="00E54D38">
        <w:rPr>
          <w:b/>
          <w:sz w:val="24"/>
          <w:szCs w:val="24"/>
        </w:rPr>
        <w:t xml:space="preserve">Строк поставки Товару 2 (два) </w:t>
      </w:r>
      <w:r w:rsidR="00DD4B65">
        <w:rPr>
          <w:b/>
          <w:sz w:val="24"/>
          <w:szCs w:val="24"/>
        </w:rPr>
        <w:t>робочі</w:t>
      </w:r>
      <w:r w:rsidRPr="00E54D38">
        <w:rPr>
          <w:b/>
          <w:sz w:val="24"/>
          <w:szCs w:val="24"/>
        </w:rPr>
        <w:t xml:space="preserve"> дні з дня отримання письмової заявки від Замовника</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DD4B65">
        <w:rPr>
          <w:rFonts w:eastAsia="Times New Roman" w:cs="Times New Roman"/>
          <w:b/>
          <w:color w:val="000000"/>
          <w:sz w:val="24"/>
          <w:szCs w:val="24"/>
          <w:lang w:eastAsia="ru-RU"/>
        </w:rPr>
        <w:t>19</w:t>
      </w:r>
      <w:r w:rsidR="0047635E">
        <w:rPr>
          <w:rFonts w:eastAsia="Times New Roman" w:cs="Times New Roman"/>
          <w:b/>
          <w:color w:val="000000"/>
          <w:sz w:val="24"/>
          <w:szCs w:val="24"/>
          <w:lang w:eastAsia="ru-RU"/>
        </w:rPr>
        <w:t xml:space="preserve"> </w:t>
      </w:r>
      <w:r w:rsidR="00D6128C">
        <w:rPr>
          <w:rFonts w:eastAsia="Times New Roman" w:cs="Times New Roman"/>
          <w:b/>
          <w:color w:val="000000"/>
          <w:sz w:val="24"/>
          <w:szCs w:val="24"/>
          <w:lang w:eastAsia="ru-RU"/>
        </w:rPr>
        <w:t>квітня</w:t>
      </w:r>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40095A" w:rsidRPr="00015F1B" w:rsidTr="00015F1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rPr>
            </w:pPr>
            <w:bookmarkStart w:id="7" w:name="n662"/>
            <w:bookmarkStart w:id="8" w:name="_Hlk15297878"/>
            <w:bookmarkEnd w:id="7"/>
            <w:r w:rsidRPr="00015F1B">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rPr>
            </w:pPr>
            <w:r w:rsidRPr="00015F1B">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rPr>
            </w:pPr>
            <w:r w:rsidRPr="00015F1B">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autoSpaceDE w:val="0"/>
              <w:autoSpaceDN w:val="0"/>
              <w:adjustRightInd w:val="0"/>
              <w:jc w:val="center"/>
              <w:rPr>
                <w:b/>
                <w:bCs/>
                <w:sz w:val="24"/>
                <w:szCs w:val="24"/>
                <w:lang w:val="uk-UA"/>
              </w:rPr>
            </w:pPr>
            <w:r w:rsidRPr="00015F1B">
              <w:rPr>
                <w:b/>
                <w:bCs/>
                <w:sz w:val="24"/>
                <w:szCs w:val="24"/>
                <w:lang w:val="uk-UA"/>
              </w:rPr>
              <w:t>Період,</w:t>
            </w:r>
          </w:p>
          <w:p w:rsidR="0040095A" w:rsidRPr="00015F1B" w:rsidRDefault="0040095A" w:rsidP="00015F1B">
            <w:pPr>
              <w:jc w:val="center"/>
              <w:rPr>
                <w:b/>
                <w:bCs/>
                <w:color w:val="000000"/>
                <w:sz w:val="24"/>
                <w:szCs w:val="24"/>
                <w:lang w:val="uk-UA"/>
              </w:rPr>
            </w:pPr>
            <w:r w:rsidRPr="00015F1B">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autoSpaceDE w:val="0"/>
              <w:autoSpaceDN w:val="0"/>
              <w:adjustRightInd w:val="0"/>
              <w:jc w:val="center"/>
              <w:rPr>
                <w:b/>
                <w:bCs/>
                <w:sz w:val="24"/>
                <w:szCs w:val="24"/>
                <w:lang w:val="uk-UA"/>
              </w:rPr>
            </w:pPr>
            <w:r w:rsidRPr="00015F1B">
              <w:rPr>
                <w:b/>
                <w:bCs/>
                <w:sz w:val="24"/>
                <w:szCs w:val="24"/>
                <w:lang w:val="uk-UA"/>
              </w:rPr>
              <w:t>Тип</w:t>
            </w:r>
          </w:p>
          <w:p w:rsidR="0040095A" w:rsidRPr="00015F1B" w:rsidRDefault="0040095A" w:rsidP="00015F1B">
            <w:pPr>
              <w:jc w:val="center"/>
              <w:rPr>
                <w:b/>
                <w:bCs/>
                <w:color w:val="000000"/>
                <w:sz w:val="24"/>
                <w:szCs w:val="24"/>
                <w:lang w:val="uk-UA"/>
              </w:rPr>
            </w:pPr>
            <w:r w:rsidRPr="00015F1B">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autoSpaceDE w:val="0"/>
              <w:autoSpaceDN w:val="0"/>
              <w:adjustRightInd w:val="0"/>
              <w:jc w:val="center"/>
              <w:rPr>
                <w:b/>
                <w:bCs/>
                <w:sz w:val="24"/>
                <w:szCs w:val="24"/>
                <w:lang w:val="uk-UA"/>
              </w:rPr>
            </w:pPr>
            <w:r w:rsidRPr="00015F1B">
              <w:rPr>
                <w:b/>
                <w:bCs/>
                <w:sz w:val="24"/>
                <w:szCs w:val="24"/>
                <w:lang w:val="uk-UA"/>
              </w:rPr>
              <w:t>Розмір</w:t>
            </w:r>
          </w:p>
          <w:p w:rsidR="0040095A" w:rsidRPr="00015F1B" w:rsidRDefault="0040095A" w:rsidP="00015F1B">
            <w:pPr>
              <w:autoSpaceDE w:val="0"/>
              <w:autoSpaceDN w:val="0"/>
              <w:adjustRightInd w:val="0"/>
              <w:jc w:val="center"/>
              <w:rPr>
                <w:b/>
                <w:bCs/>
                <w:sz w:val="24"/>
                <w:szCs w:val="24"/>
                <w:lang w:val="uk-UA"/>
              </w:rPr>
            </w:pPr>
            <w:r w:rsidRPr="00015F1B">
              <w:rPr>
                <w:b/>
                <w:bCs/>
                <w:sz w:val="24"/>
                <w:szCs w:val="24"/>
                <w:lang w:val="uk-UA"/>
              </w:rPr>
              <w:t>оплати,</w:t>
            </w:r>
          </w:p>
          <w:p w:rsidR="0040095A" w:rsidRPr="00015F1B" w:rsidRDefault="0040095A" w:rsidP="00015F1B">
            <w:pPr>
              <w:jc w:val="center"/>
              <w:rPr>
                <w:b/>
                <w:bCs/>
                <w:color w:val="000000"/>
                <w:sz w:val="24"/>
                <w:szCs w:val="24"/>
                <w:lang w:val="uk-UA"/>
              </w:rPr>
            </w:pPr>
            <w:r w:rsidRPr="00015F1B">
              <w:rPr>
                <w:b/>
                <w:bCs/>
                <w:sz w:val="24"/>
                <w:szCs w:val="24"/>
                <w:lang w:val="uk-UA"/>
              </w:rPr>
              <w:t>(%)</w:t>
            </w:r>
          </w:p>
        </w:tc>
      </w:tr>
      <w:tr w:rsidR="0040095A" w:rsidRPr="00015F1B" w:rsidTr="00015F1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tabs>
                <w:tab w:val="left" w:pos="1134"/>
              </w:tabs>
              <w:ind w:firstLine="33"/>
              <w:jc w:val="center"/>
              <w:textAlignment w:val="top"/>
              <w:rPr>
                <w:rFonts w:eastAsia="Tahoma"/>
                <w:color w:val="000000"/>
                <w:sz w:val="24"/>
                <w:szCs w:val="24"/>
                <w:lang w:val="uk-UA"/>
              </w:rPr>
            </w:pPr>
            <w:r w:rsidRPr="00015F1B">
              <w:rPr>
                <w:rFonts w:eastAsia="Tahoma"/>
                <w:color w:val="000000"/>
                <w:sz w:val="24"/>
                <w:szCs w:val="24"/>
                <w:lang w:val="uk-UA"/>
              </w:rPr>
              <w:t>Поставки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pStyle w:val="22"/>
              <w:shd w:val="clear" w:color="auto" w:fill="auto"/>
              <w:tabs>
                <w:tab w:val="left" w:pos="1046"/>
                <w:tab w:val="left" w:pos="1276"/>
              </w:tabs>
              <w:spacing w:line="240" w:lineRule="auto"/>
              <w:rPr>
                <w:sz w:val="24"/>
                <w:szCs w:val="24"/>
              </w:rPr>
            </w:pPr>
            <w:proofErr w:type="spellStart"/>
            <w:r w:rsidRPr="00015F1B">
              <w:rPr>
                <w:sz w:val="24"/>
                <w:szCs w:val="24"/>
              </w:rPr>
              <w:t>Розрахунки</w:t>
            </w:r>
            <w:proofErr w:type="spellEnd"/>
            <w:r w:rsidRPr="00015F1B">
              <w:rPr>
                <w:sz w:val="24"/>
                <w:szCs w:val="24"/>
              </w:rPr>
              <w:t xml:space="preserve"> за Товар </w:t>
            </w:r>
            <w:proofErr w:type="spellStart"/>
            <w:r w:rsidRPr="00015F1B">
              <w:rPr>
                <w:sz w:val="24"/>
                <w:szCs w:val="24"/>
              </w:rPr>
              <w:t>Замовник</w:t>
            </w:r>
            <w:proofErr w:type="spellEnd"/>
            <w:r w:rsidRPr="00015F1B">
              <w:rPr>
                <w:sz w:val="24"/>
                <w:szCs w:val="24"/>
              </w:rPr>
              <w:t xml:space="preserve"> </w:t>
            </w:r>
            <w:proofErr w:type="spellStart"/>
            <w:r w:rsidRPr="00015F1B">
              <w:rPr>
                <w:sz w:val="24"/>
                <w:szCs w:val="24"/>
              </w:rPr>
              <w:t>здійснює</w:t>
            </w:r>
            <w:proofErr w:type="spellEnd"/>
            <w:r w:rsidRPr="00015F1B">
              <w:rPr>
                <w:sz w:val="24"/>
                <w:szCs w:val="24"/>
              </w:rPr>
              <w:t xml:space="preserve"> на </w:t>
            </w:r>
            <w:proofErr w:type="spellStart"/>
            <w:proofErr w:type="gramStart"/>
            <w:r w:rsidRPr="00015F1B">
              <w:rPr>
                <w:sz w:val="24"/>
                <w:szCs w:val="24"/>
              </w:rPr>
              <w:t>п</w:t>
            </w:r>
            <w:proofErr w:type="gramEnd"/>
            <w:r w:rsidRPr="00015F1B">
              <w:rPr>
                <w:sz w:val="24"/>
                <w:szCs w:val="24"/>
              </w:rPr>
              <w:t>ідставі</w:t>
            </w:r>
            <w:proofErr w:type="spellEnd"/>
            <w:r w:rsidRPr="00015F1B">
              <w:rPr>
                <w:sz w:val="24"/>
                <w:szCs w:val="24"/>
              </w:rPr>
              <w:t xml:space="preserve"> </w:t>
            </w:r>
            <w:proofErr w:type="spellStart"/>
            <w:r w:rsidRPr="00015F1B">
              <w:rPr>
                <w:sz w:val="24"/>
                <w:szCs w:val="24"/>
              </w:rPr>
              <w:t>рахунку</w:t>
            </w:r>
            <w:proofErr w:type="spellEnd"/>
            <w:r w:rsidRPr="00015F1B">
              <w:rPr>
                <w:sz w:val="24"/>
                <w:szCs w:val="24"/>
              </w:rPr>
              <w:t xml:space="preserve"> </w:t>
            </w:r>
            <w:proofErr w:type="spellStart"/>
            <w:r w:rsidRPr="00015F1B">
              <w:rPr>
                <w:sz w:val="24"/>
                <w:szCs w:val="24"/>
              </w:rPr>
              <w:t>Постачальника</w:t>
            </w:r>
            <w:proofErr w:type="spellEnd"/>
            <w:r w:rsidRPr="00015F1B">
              <w:rPr>
                <w:sz w:val="24"/>
                <w:szCs w:val="24"/>
              </w:rPr>
              <w:t xml:space="preserve"> у </w:t>
            </w:r>
            <w:proofErr w:type="spellStart"/>
            <w:r w:rsidRPr="00015F1B">
              <w:rPr>
                <w:sz w:val="24"/>
                <w:szCs w:val="24"/>
              </w:rPr>
              <w:t>наступному</w:t>
            </w:r>
            <w:proofErr w:type="spellEnd"/>
            <w:r w:rsidRPr="00015F1B">
              <w:rPr>
                <w:sz w:val="24"/>
                <w:szCs w:val="24"/>
              </w:rPr>
              <w:t xml:space="preserve"> порядку: </w:t>
            </w:r>
            <w:proofErr w:type="spellStart"/>
            <w:r w:rsidRPr="00015F1B">
              <w:rPr>
                <w:sz w:val="24"/>
                <w:szCs w:val="24"/>
              </w:rPr>
              <w:t>попередня</w:t>
            </w:r>
            <w:proofErr w:type="spellEnd"/>
            <w:r w:rsidRPr="00015F1B">
              <w:rPr>
                <w:sz w:val="24"/>
                <w:szCs w:val="24"/>
              </w:rPr>
              <w:t xml:space="preserve"> оплата у </w:t>
            </w:r>
            <w:proofErr w:type="spellStart"/>
            <w:r w:rsidRPr="00015F1B">
              <w:rPr>
                <w:sz w:val="24"/>
                <w:szCs w:val="24"/>
              </w:rPr>
              <w:t>розмірі</w:t>
            </w:r>
            <w:proofErr w:type="spellEnd"/>
            <w:r w:rsidRPr="00015F1B">
              <w:rPr>
                <w:sz w:val="24"/>
                <w:szCs w:val="24"/>
              </w:rPr>
              <w:t xml:space="preserve"> 100% (сто </w:t>
            </w:r>
            <w:proofErr w:type="spellStart"/>
            <w:r w:rsidRPr="00015F1B">
              <w:rPr>
                <w:sz w:val="24"/>
                <w:szCs w:val="24"/>
              </w:rPr>
              <w:t>відсотків</w:t>
            </w:r>
            <w:proofErr w:type="spellEnd"/>
            <w:r w:rsidRPr="00015F1B">
              <w:rPr>
                <w:sz w:val="24"/>
                <w:szCs w:val="24"/>
              </w:rPr>
              <w:t xml:space="preserve">) </w:t>
            </w:r>
            <w:proofErr w:type="spellStart"/>
            <w:r w:rsidRPr="00015F1B">
              <w:rPr>
                <w:sz w:val="24"/>
                <w:szCs w:val="24"/>
              </w:rPr>
              <w:t>від</w:t>
            </w:r>
            <w:proofErr w:type="spellEnd"/>
            <w:r w:rsidRPr="00015F1B">
              <w:rPr>
                <w:sz w:val="24"/>
                <w:szCs w:val="24"/>
              </w:rPr>
              <w:t xml:space="preserve"> </w:t>
            </w:r>
            <w:proofErr w:type="spellStart"/>
            <w:r w:rsidRPr="00015F1B">
              <w:rPr>
                <w:sz w:val="24"/>
                <w:szCs w:val="24"/>
              </w:rPr>
              <w:lastRenderedPageBreak/>
              <w:t>суми</w:t>
            </w:r>
            <w:proofErr w:type="spellEnd"/>
            <w:r w:rsidRPr="00015F1B">
              <w:rPr>
                <w:sz w:val="24"/>
                <w:szCs w:val="24"/>
              </w:rPr>
              <w:t xml:space="preserve"> Товару </w:t>
            </w:r>
            <w:proofErr w:type="spellStart"/>
            <w:r w:rsidRPr="00015F1B">
              <w:rPr>
                <w:sz w:val="24"/>
                <w:szCs w:val="24"/>
              </w:rPr>
              <w:t>відповідно</w:t>
            </w:r>
            <w:proofErr w:type="spellEnd"/>
            <w:r w:rsidRPr="00015F1B">
              <w:rPr>
                <w:sz w:val="24"/>
                <w:szCs w:val="24"/>
              </w:rPr>
              <w:t xml:space="preserve"> до заявки </w:t>
            </w:r>
            <w:proofErr w:type="spellStart"/>
            <w:r w:rsidRPr="00015F1B">
              <w:rPr>
                <w:sz w:val="24"/>
                <w:szCs w:val="24"/>
              </w:rPr>
              <w:t>Замовника</w:t>
            </w:r>
            <w:proofErr w:type="spellEnd"/>
            <w:r w:rsidRPr="00015F1B">
              <w:rPr>
                <w:sz w:val="24"/>
                <w:szCs w:val="24"/>
              </w:rPr>
              <w:t xml:space="preserve"> </w:t>
            </w:r>
            <w:proofErr w:type="spellStart"/>
            <w:r w:rsidRPr="00015F1B">
              <w:rPr>
                <w:sz w:val="24"/>
                <w:szCs w:val="24"/>
              </w:rPr>
              <w:t>протягом</w:t>
            </w:r>
            <w:proofErr w:type="spellEnd"/>
            <w:r w:rsidRPr="00015F1B">
              <w:rPr>
                <w:sz w:val="24"/>
                <w:szCs w:val="24"/>
              </w:rPr>
              <w:t xml:space="preserve"> 5 (</w:t>
            </w:r>
            <w:proofErr w:type="spellStart"/>
            <w:r w:rsidRPr="00015F1B">
              <w:rPr>
                <w:sz w:val="24"/>
                <w:szCs w:val="24"/>
              </w:rPr>
              <w:t>п’яти</w:t>
            </w:r>
            <w:proofErr w:type="spellEnd"/>
            <w:r w:rsidRPr="00015F1B">
              <w:rPr>
                <w:sz w:val="24"/>
                <w:szCs w:val="24"/>
              </w:rPr>
              <w:t xml:space="preserve">) </w:t>
            </w:r>
            <w:proofErr w:type="spellStart"/>
            <w:r w:rsidRPr="00015F1B">
              <w:rPr>
                <w:sz w:val="24"/>
                <w:szCs w:val="24"/>
              </w:rPr>
              <w:t>робочих</w:t>
            </w:r>
            <w:proofErr w:type="spellEnd"/>
            <w:r w:rsidRPr="00015F1B">
              <w:rPr>
                <w:sz w:val="24"/>
                <w:szCs w:val="24"/>
              </w:rPr>
              <w:t xml:space="preserve"> </w:t>
            </w:r>
            <w:proofErr w:type="spellStart"/>
            <w:r w:rsidRPr="00015F1B">
              <w:rPr>
                <w:sz w:val="24"/>
                <w:szCs w:val="24"/>
              </w:rPr>
              <w:t>днів</w:t>
            </w:r>
            <w:proofErr w:type="spellEnd"/>
            <w:r w:rsidRPr="00015F1B">
              <w:rPr>
                <w:sz w:val="24"/>
                <w:szCs w:val="24"/>
              </w:rPr>
              <w:t xml:space="preserve">, </w:t>
            </w:r>
            <w:proofErr w:type="spellStart"/>
            <w:r w:rsidRPr="00015F1B">
              <w:rPr>
                <w:sz w:val="24"/>
                <w:szCs w:val="24"/>
              </w:rPr>
              <w:t>починаючи</w:t>
            </w:r>
            <w:proofErr w:type="spellEnd"/>
            <w:r w:rsidRPr="00015F1B">
              <w:rPr>
                <w:sz w:val="24"/>
                <w:szCs w:val="24"/>
              </w:rPr>
              <w:t xml:space="preserve"> з </w:t>
            </w:r>
            <w:proofErr w:type="spellStart"/>
            <w:r w:rsidRPr="00015F1B">
              <w:rPr>
                <w:sz w:val="24"/>
                <w:szCs w:val="24"/>
              </w:rPr>
              <w:t>дати</w:t>
            </w:r>
            <w:proofErr w:type="spellEnd"/>
            <w:r w:rsidRPr="00015F1B">
              <w:rPr>
                <w:sz w:val="24"/>
                <w:szCs w:val="24"/>
              </w:rPr>
              <w:t xml:space="preserve"> </w:t>
            </w:r>
            <w:proofErr w:type="spellStart"/>
            <w:r w:rsidRPr="00015F1B">
              <w:rPr>
                <w:sz w:val="24"/>
                <w:szCs w:val="24"/>
              </w:rPr>
              <w:t>отримання</w:t>
            </w:r>
            <w:proofErr w:type="spellEnd"/>
            <w:r w:rsidRPr="00015F1B">
              <w:rPr>
                <w:sz w:val="24"/>
                <w:szCs w:val="24"/>
              </w:rPr>
              <w:t xml:space="preserve"> </w:t>
            </w:r>
            <w:proofErr w:type="spellStart"/>
            <w:r w:rsidRPr="00015F1B">
              <w:rPr>
                <w:sz w:val="24"/>
                <w:szCs w:val="24"/>
              </w:rPr>
              <w:t>Замовником</w:t>
            </w:r>
            <w:proofErr w:type="spellEnd"/>
            <w:r w:rsidRPr="00015F1B">
              <w:rPr>
                <w:sz w:val="24"/>
                <w:szCs w:val="24"/>
              </w:rPr>
              <w:t xml:space="preserve"> </w:t>
            </w:r>
            <w:proofErr w:type="spellStart"/>
            <w:r w:rsidRPr="00015F1B">
              <w:rPr>
                <w:sz w:val="24"/>
                <w:szCs w:val="24"/>
              </w:rPr>
              <w:t>рахунку</w:t>
            </w:r>
            <w:proofErr w:type="spellEnd"/>
            <w:r w:rsidRPr="00015F1B">
              <w:rPr>
                <w:sz w:val="24"/>
                <w:szCs w:val="24"/>
              </w:rPr>
              <w:t>.</w:t>
            </w:r>
          </w:p>
          <w:p w:rsidR="0040095A" w:rsidRPr="00015F1B" w:rsidRDefault="0040095A" w:rsidP="00015F1B">
            <w:pPr>
              <w:pStyle w:val="rvps2"/>
              <w:spacing w:before="0" w:beforeAutospacing="0" w:after="0" w:afterAutospacing="0"/>
              <w:jc w:val="center"/>
              <w:rPr>
                <w:b/>
                <w:lang w:val="uk-UA"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D745D0" w:rsidP="00015F1B">
            <w:pPr>
              <w:jc w:val="center"/>
              <w:rPr>
                <w:b/>
                <w:sz w:val="24"/>
                <w:szCs w:val="24"/>
                <w:lang w:val="uk-UA" w:eastAsia="en-US"/>
              </w:rPr>
            </w:pPr>
            <w:r>
              <w:rPr>
                <w:b/>
                <w:bCs/>
                <w:sz w:val="24"/>
                <w:szCs w:val="24"/>
                <w:shd w:val="clear" w:color="auto" w:fill="FFFFFF"/>
              </w:rPr>
              <w:lastRenderedPageBreak/>
              <w:t>Аванс</w:t>
            </w:r>
            <w:bookmarkStart w:id="9" w:name="_GoBack"/>
            <w:bookmarkEnd w:id="9"/>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eastAsia="en-US"/>
              </w:rPr>
            </w:pPr>
            <w:r w:rsidRPr="00015F1B">
              <w:rPr>
                <w:b/>
                <w:bCs/>
                <w:color w:val="000000"/>
                <w:sz w:val="24"/>
                <w:szCs w:val="2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eastAsia="en-US"/>
              </w:rPr>
            </w:pPr>
            <w:proofErr w:type="spellStart"/>
            <w:r w:rsidRPr="00015F1B">
              <w:rPr>
                <w:b/>
                <w:sz w:val="24"/>
                <w:szCs w:val="24"/>
              </w:rPr>
              <w:t>робочих</w:t>
            </w:r>
            <w:proofErr w:type="spellEnd"/>
            <w:r w:rsidRPr="00015F1B">
              <w:rPr>
                <w:b/>
                <w:sz w:val="24"/>
                <w:szCs w:val="24"/>
              </w:rPr>
              <w:t xml:space="preserve"> </w:t>
            </w:r>
            <w:proofErr w:type="spellStart"/>
            <w:r w:rsidRPr="00015F1B">
              <w:rPr>
                <w:b/>
                <w:sz w:val="24"/>
                <w:szCs w:val="24"/>
              </w:rPr>
              <w:t>днів</w:t>
            </w:r>
            <w:proofErr w:type="spellEnd"/>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40095A" w:rsidRPr="00015F1B" w:rsidRDefault="0040095A" w:rsidP="00015F1B">
            <w:pPr>
              <w:jc w:val="center"/>
              <w:rPr>
                <w:b/>
                <w:bCs/>
                <w:color w:val="000000"/>
                <w:sz w:val="24"/>
                <w:szCs w:val="24"/>
                <w:lang w:val="uk-UA" w:eastAsia="en-US"/>
              </w:rPr>
            </w:pPr>
            <w:r w:rsidRPr="00015F1B">
              <w:rPr>
                <w:b/>
                <w:sz w:val="24"/>
                <w:szCs w:val="24"/>
              </w:rPr>
              <w:t>100</w:t>
            </w:r>
          </w:p>
        </w:tc>
      </w:tr>
      <w:bookmarkEnd w:id="8"/>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sidR="00015F1B">
        <w:rPr>
          <w:rFonts w:eastAsia="Times New Roman"/>
          <w:b/>
          <w:sz w:val="24"/>
          <w:szCs w:val="24"/>
        </w:rPr>
        <w:t>5</w:t>
      </w:r>
      <w:r w:rsidR="00EE21A9">
        <w:rPr>
          <w:rFonts w:eastAsia="Times New Roman"/>
          <w:b/>
          <w:sz w:val="24"/>
          <w:szCs w:val="24"/>
        </w:rPr>
        <w:t>0</w:t>
      </w:r>
      <w:r>
        <w:rPr>
          <w:rFonts w:eastAsia="Times New Roman"/>
          <w:b/>
          <w:sz w:val="24"/>
          <w:szCs w:val="24"/>
        </w:rPr>
        <w:t xml:space="preserve">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w:t>
      </w:r>
      <w:r>
        <w:rPr>
          <w:rFonts w:eastAsia="Times New Roman"/>
          <w:sz w:val="24"/>
          <w:szCs w:val="24"/>
        </w:rPr>
        <w:lastRenderedPageBreak/>
        <w:t xml:space="preserve">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«Одесміськелектротранс»</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700E44" w:rsidRPr="00297FCD" w:rsidRDefault="006A17FC" w:rsidP="00180CC0">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w:t>
      </w:r>
      <w:r w:rsidR="00297FCD">
        <w:rPr>
          <w:rFonts w:eastAsia="Times New Roman"/>
          <w:sz w:val="24"/>
          <w:szCs w:val="24"/>
        </w:rPr>
        <w:t>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Times New Roman"/>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15F1B"/>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D334E"/>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B0397"/>
    <w:rsid w:val="001B68DC"/>
    <w:rsid w:val="001C1EF4"/>
    <w:rsid w:val="001C74E1"/>
    <w:rsid w:val="001D6452"/>
    <w:rsid w:val="001E33EC"/>
    <w:rsid w:val="001E396C"/>
    <w:rsid w:val="001E7DFB"/>
    <w:rsid w:val="0020254E"/>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97FCD"/>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095A"/>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53B79"/>
    <w:rsid w:val="00761140"/>
    <w:rsid w:val="0076705C"/>
    <w:rsid w:val="007A1F01"/>
    <w:rsid w:val="007A4FB2"/>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655B3"/>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460F"/>
    <w:rsid w:val="009D1528"/>
    <w:rsid w:val="009D5D4B"/>
    <w:rsid w:val="009F10B8"/>
    <w:rsid w:val="009F390D"/>
    <w:rsid w:val="009F3D2D"/>
    <w:rsid w:val="009F4A94"/>
    <w:rsid w:val="00A06F56"/>
    <w:rsid w:val="00A101CE"/>
    <w:rsid w:val="00A26DDD"/>
    <w:rsid w:val="00A3072E"/>
    <w:rsid w:val="00A47BE8"/>
    <w:rsid w:val="00A6685A"/>
    <w:rsid w:val="00A7187F"/>
    <w:rsid w:val="00A77BE0"/>
    <w:rsid w:val="00A94212"/>
    <w:rsid w:val="00AA26BF"/>
    <w:rsid w:val="00AA2F33"/>
    <w:rsid w:val="00AB10DE"/>
    <w:rsid w:val="00AB5E90"/>
    <w:rsid w:val="00AC1D2C"/>
    <w:rsid w:val="00AC3831"/>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1C92"/>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6128C"/>
    <w:rsid w:val="00D745D0"/>
    <w:rsid w:val="00D7589B"/>
    <w:rsid w:val="00D77675"/>
    <w:rsid w:val="00DA4FCB"/>
    <w:rsid w:val="00DB245B"/>
    <w:rsid w:val="00DB3628"/>
    <w:rsid w:val="00DB4C74"/>
    <w:rsid w:val="00DC415B"/>
    <w:rsid w:val="00DD4B65"/>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708B5"/>
    <w:rsid w:val="00E7677D"/>
    <w:rsid w:val="00E94174"/>
    <w:rsid w:val="00EB0B10"/>
    <w:rsid w:val="00EB58C2"/>
    <w:rsid w:val="00EC0800"/>
    <w:rsid w:val="00EC0D82"/>
    <w:rsid w:val="00ED1226"/>
    <w:rsid w:val="00ED400B"/>
    <w:rsid w:val="00ED478D"/>
    <w:rsid w:val="00ED6A8D"/>
    <w:rsid w:val="00ED6CB0"/>
    <w:rsid w:val="00EE17E7"/>
    <w:rsid w:val="00EE21A9"/>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05914-0ECF-4E80-B0F5-AE2A66CC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5</Pages>
  <Words>7364</Words>
  <Characters>4199</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299</cp:revision>
  <cp:lastPrinted>2023-06-29T11:40:00Z</cp:lastPrinted>
  <dcterms:created xsi:type="dcterms:W3CDTF">2022-10-31T09:32:00Z</dcterms:created>
  <dcterms:modified xsi:type="dcterms:W3CDTF">2024-04-11T08:48:00Z</dcterms:modified>
</cp:coreProperties>
</file>