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33" w:rsidRDefault="00D33E39">
      <w:pPr>
        <w:ind w:left="5812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:rsidR="00F54B33" w:rsidRDefault="00D33E39">
      <w:pPr>
        <w:ind w:left="5812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тендерної документації на закупівлю товару Вантажно-легковий автомобіль </w:t>
      </w:r>
    </w:p>
    <w:p w:rsidR="00F54B33" w:rsidRDefault="00D33E39">
      <w:pPr>
        <w:ind w:left="5812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(ДК 021:2015 «Єдиний закупівельний словник» – 34110000-1 Легкові автомобілі)</w:t>
      </w:r>
    </w:p>
    <w:p w:rsidR="00F54B33" w:rsidRDefault="00F54B33">
      <w:pPr>
        <w:rPr>
          <w:lang w:val="uk-UA"/>
        </w:rPr>
      </w:pPr>
    </w:p>
    <w:p w:rsidR="00F54B33" w:rsidRDefault="00D33E39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Технічне завдання</w:t>
      </w:r>
    </w:p>
    <w:p w:rsidR="00F54B33" w:rsidRDefault="00D33E39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інформація про необхідні технічні, якісні та кількісні характеристики предмета закупівлі за ДК 021:2015 «Єдиний закупівельний словник» – 34110000-1 Легкові автомобілі </w:t>
      </w:r>
    </w:p>
    <w:p w:rsidR="00F54B33" w:rsidRDefault="00D33E39">
      <w:pPr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Вантажно-легковий автомобіль </w:t>
      </w:r>
      <w:proofErr w:type="spellStart"/>
      <w:r>
        <w:rPr>
          <w:rFonts w:ascii="Times New Roman" w:hAnsi="Times New Roman" w:cs="Times New Roman"/>
          <w:b/>
          <w:lang w:val="uk-UA"/>
        </w:rPr>
        <w:t>Toyota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PROACE </w:t>
      </w:r>
      <w:proofErr w:type="spellStart"/>
      <w:r>
        <w:rPr>
          <w:rFonts w:ascii="Times New Roman" w:hAnsi="Times New Roman" w:cs="Times New Roman"/>
          <w:b/>
          <w:lang w:val="uk-UA"/>
        </w:rPr>
        <w:t>City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або еквівалент у кількості 1 одиниці</w:t>
      </w:r>
    </w:p>
    <w:tbl>
      <w:tblPr>
        <w:tblStyle w:val="aa"/>
        <w:tblW w:w="9298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3066"/>
        <w:gridCol w:w="3122"/>
        <w:gridCol w:w="3110"/>
      </w:tblGrid>
      <w:tr w:rsidR="00F54B33">
        <w:tc>
          <w:tcPr>
            <w:tcW w:w="9298" w:type="dxa"/>
            <w:gridSpan w:val="3"/>
          </w:tcPr>
          <w:p w:rsidR="00F54B33" w:rsidRDefault="00D33E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Інф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ормація щодо технічних та якісних характеристик предмета закупівлі (Вантажно-легкового автомобілю)</w:t>
            </w:r>
          </w:p>
        </w:tc>
      </w:tr>
      <w:tr w:rsidR="00F54B33">
        <w:tc>
          <w:tcPr>
            <w:tcW w:w="6188" w:type="dxa"/>
            <w:gridSpan w:val="2"/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Від замовника</w:t>
            </w:r>
          </w:p>
        </w:tc>
        <w:tc>
          <w:tcPr>
            <w:tcW w:w="3110" w:type="dxa"/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Пропозиції учасника</w:t>
            </w:r>
          </w:p>
        </w:tc>
      </w:tr>
      <w:tr w:rsidR="00F54B33">
        <w:tc>
          <w:tcPr>
            <w:tcW w:w="3066" w:type="dxa"/>
          </w:tcPr>
          <w:p w:rsidR="00F54B33" w:rsidRDefault="00D3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Тип кузова</w:t>
            </w:r>
          </w:p>
        </w:tc>
        <w:tc>
          <w:tcPr>
            <w:tcW w:w="3122" w:type="dxa"/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універсал</w:t>
            </w:r>
          </w:p>
        </w:tc>
        <w:tc>
          <w:tcPr>
            <w:tcW w:w="3110" w:type="dxa"/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</w:tcPr>
          <w:p w:rsidR="00F54B33" w:rsidRDefault="00D3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Кількість дверей  </w:t>
            </w:r>
          </w:p>
        </w:tc>
        <w:tc>
          <w:tcPr>
            <w:tcW w:w="3122" w:type="dxa"/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110" w:type="dxa"/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</w:tcPr>
          <w:p w:rsidR="00F54B33" w:rsidRDefault="00D3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Кількість місць</w:t>
            </w:r>
          </w:p>
        </w:tc>
        <w:tc>
          <w:tcPr>
            <w:tcW w:w="3122" w:type="dxa"/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 або більше</w:t>
            </w:r>
          </w:p>
        </w:tc>
        <w:tc>
          <w:tcPr>
            <w:tcW w:w="3110" w:type="dxa"/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</w:tcPr>
          <w:p w:rsidR="00F54B33" w:rsidRDefault="00D3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Довжина, мм</w:t>
            </w:r>
          </w:p>
        </w:tc>
        <w:tc>
          <w:tcPr>
            <w:tcW w:w="3122" w:type="dxa"/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4753</w:t>
            </w:r>
          </w:p>
        </w:tc>
        <w:tc>
          <w:tcPr>
            <w:tcW w:w="3110" w:type="dxa"/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</w:tcPr>
          <w:p w:rsidR="00F54B33" w:rsidRDefault="00D3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Ширина, мм</w:t>
            </w:r>
          </w:p>
        </w:tc>
        <w:tc>
          <w:tcPr>
            <w:tcW w:w="3122" w:type="dxa"/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1848</w:t>
            </w:r>
          </w:p>
        </w:tc>
        <w:tc>
          <w:tcPr>
            <w:tcW w:w="3110" w:type="dxa"/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</w:tcPr>
          <w:p w:rsidR="00F54B33" w:rsidRDefault="00D3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Висота,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мм</w:t>
            </w:r>
          </w:p>
        </w:tc>
        <w:tc>
          <w:tcPr>
            <w:tcW w:w="3122" w:type="dxa"/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1817</w:t>
            </w:r>
          </w:p>
        </w:tc>
        <w:tc>
          <w:tcPr>
            <w:tcW w:w="3110" w:type="dxa"/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</w:tcPr>
          <w:p w:rsidR="00F54B33" w:rsidRDefault="00D3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Колісна база, мм</w:t>
            </w:r>
          </w:p>
        </w:tc>
        <w:tc>
          <w:tcPr>
            <w:tcW w:w="3122" w:type="dxa"/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2975</w:t>
            </w:r>
          </w:p>
        </w:tc>
        <w:tc>
          <w:tcPr>
            <w:tcW w:w="3110" w:type="dxa"/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</w:tcPr>
          <w:p w:rsidR="00F54B33" w:rsidRDefault="00D3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Дорожній просвіт,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клиренс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) мм, </w:t>
            </w:r>
          </w:p>
        </w:tc>
        <w:tc>
          <w:tcPr>
            <w:tcW w:w="3122" w:type="dxa"/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3110" w:type="dxa"/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</w:tcPr>
          <w:p w:rsidR="00F54B33" w:rsidRDefault="00D33E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Двигун</w:t>
            </w:r>
          </w:p>
        </w:tc>
        <w:tc>
          <w:tcPr>
            <w:tcW w:w="3122" w:type="dxa"/>
          </w:tcPr>
          <w:p w:rsidR="00F54B33" w:rsidRDefault="00F5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0" w:type="dxa"/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</w:tcPr>
          <w:p w:rsidR="00F54B33" w:rsidRDefault="00D3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тип</w:t>
            </w:r>
          </w:p>
        </w:tc>
        <w:tc>
          <w:tcPr>
            <w:tcW w:w="3122" w:type="dxa"/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Дизельний </w:t>
            </w:r>
          </w:p>
        </w:tc>
        <w:tc>
          <w:tcPr>
            <w:tcW w:w="3110" w:type="dxa"/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</w:tcPr>
          <w:p w:rsidR="00F54B33" w:rsidRDefault="00D3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екологічний клас, не менше</w:t>
            </w:r>
          </w:p>
        </w:tc>
        <w:tc>
          <w:tcPr>
            <w:tcW w:w="3122" w:type="dxa"/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EURO 5</w:t>
            </w:r>
          </w:p>
        </w:tc>
        <w:tc>
          <w:tcPr>
            <w:tcW w:w="3110" w:type="dxa"/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</w:tcPr>
          <w:p w:rsidR="00F54B33" w:rsidRDefault="00D33E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Трансмісія</w:t>
            </w:r>
          </w:p>
        </w:tc>
        <w:tc>
          <w:tcPr>
            <w:tcW w:w="3122" w:type="dxa"/>
          </w:tcPr>
          <w:p w:rsidR="00F54B33" w:rsidRDefault="00F54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0" w:type="dxa"/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</w:tcPr>
          <w:p w:rsidR="00F54B33" w:rsidRDefault="00D3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тип</w:t>
            </w:r>
          </w:p>
        </w:tc>
        <w:tc>
          <w:tcPr>
            <w:tcW w:w="3122" w:type="dxa"/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механічна </w:t>
            </w:r>
          </w:p>
        </w:tc>
        <w:tc>
          <w:tcPr>
            <w:tcW w:w="3110" w:type="dxa"/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</w:tcPr>
          <w:p w:rsidR="00F54B33" w:rsidRDefault="00D3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Тип приводу</w:t>
            </w:r>
          </w:p>
        </w:tc>
        <w:tc>
          <w:tcPr>
            <w:tcW w:w="3122" w:type="dxa"/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передній</w:t>
            </w:r>
          </w:p>
        </w:tc>
        <w:tc>
          <w:tcPr>
            <w:tcW w:w="3110" w:type="dxa"/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9298" w:type="dxa"/>
            <w:gridSpan w:val="3"/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Вантажне відділення</w:t>
            </w:r>
          </w:p>
        </w:tc>
      </w:tr>
      <w:tr w:rsidR="00F54B33">
        <w:tc>
          <w:tcPr>
            <w:tcW w:w="3066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Довжина вантажного відділення, мм</w:t>
            </w:r>
          </w:p>
        </w:tc>
        <w:tc>
          <w:tcPr>
            <w:tcW w:w="3122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не менше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1877</w:t>
            </w:r>
          </w:p>
        </w:tc>
        <w:tc>
          <w:tcPr>
            <w:tcW w:w="3110" w:type="dxa"/>
            <w:tcBorders>
              <w:top w:val="nil"/>
            </w:tcBorders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Висота вантажного відділення, мм</w:t>
            </w:r>
          </w:p>
        </w:tc>
        <w:tc>
          <w:tcPr>
            <w:tcW w:w="3122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не менше 1270</w:t>
            </w:r>
          </w:p>
        </w:tc>
        <w:tc>
          <w:tcPr>
            <w:tcW w:w="3110" w:type="dxa"/>
            <w:tcBorders>
              <w:top w:val="nil"/>
            </w:tcBorders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Корисна ширина вантажного відділення, мм</w:t>
            </w:r>
          </w:p>
        </w:tc>
        <w:tc>
          <w:tcPr>
            <w:tcW w:w="3122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не менше 1630</w:t>
            </w:r>
          </w:p>
        </w:tc>
        <w:tc>
          <w:tcPr>
            <w:tcW w:w="3110" w:type="dxa"/>
            <w:tcBorders>
              <w:top w:val="nil"/>
            </w:tcBorders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Ширина вантажного відділення між колісними арками, мм</w:t>
            </w:r>
          </w:p>
        </w:tc>
        <w:tc>
          <w:tcPr>
            <w:tcW w:w="3122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не менше 1229</w:t>
            </w:r>
          </w:p>
        </w:tc>
        <w:tc>
          <w:tcPr>
            <w:tcW w:w="3110" w:type="dxa"/>
            <w:tcBorders>
              <w:top w:val="nil"/>
            </w:tcBorders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Об’єм вантажного відділення, 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3122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не менше 3,9</w:t>
            </w:r>
          </w:p>
        </w:tc>
        <w:tc>
          <w:tcPr>
            <w:tcW w:w="3110" w:type="dxa"/>
            <w:tcBorders>
              <w:top w:val="nil"/>
            </w:tcBorders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Кількість євро-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палет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вміщується,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3122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не  менше 2 </w:t>
            </w:r>
          </w:p>
        </w:tc>
        <w:tc>
          <w:tcPr>
            <w:tcW w:w="3110" w:type="dxa"/>
            <w:tcBorders>
              <w:top w:val="nil"/>
            </w:tcBorders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Провушини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для кріплення вантажу в підлозі</w:t>
            </w:r>
          </w:p>
        </w:tc>
        <w:tc>
          <w:tcPr>
            <w:tcW w:w="3122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110" w:type="dxa"/>
            <w:tcBorders>
              <w:top w:val="nil"/>
            </w:tcBorders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9298" w:type="dxa"/>
            <w:gridSpan w:val="3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Маса</w:t>
            </w:r>
          </w:p>
        </w:tc>
      </w:tr>
      <w:tr w:rsidR="00F54B33">
        <w:tc>
          <w:tcPr>
            <w:tcW w:w="3066" w:type="dxa"/>
          </w:tcPr>
          <w:p w:rsidR="00F54B33" w:rsidRDefault="00D3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споряджена маса, кг</w:t>
            </w:r>
          </w:p>
        </w:tc>
        <w:tc>
          <w:tcPr>
            <w:tcW w:w="3122" w:type="dxa"/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1444</w:t>
            </w:r>
          </w:p>
        </w:tc>
        <w:tc>
          <w:tcPr>
            <w:tcW w:w="3110" w:type="dxa"/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</w:tcPr>
          <w:p w:rsidR="00F54B33" w:rsidRDefault="00D3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максимально допустима маса, кг</w:t>
            </w:r>
          </w:p>
        </w:tc>
        <w:tc>
          <w:tcPr>
            <w:tcW w:w="3122" w:type="dxa"/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2320</w:t>
            </w:r>
          </w:p>
        </w:tc>
        <w:tc>
          <w:tcPr>
            <w:tcW w:w="3110" w:type="dxa"/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Вантажопідйомність, кг</w:t>
            </w:r>
          </w:p>
        </w:tc>
        <w:tc>
          <w:tcPr>
            <w:tcW w:w="3122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не менше 876</w:t>
            </w:r>
          </w:p>
        </w:tc>
        <w:tc>
          <w:tcPr>
            <w:tcW w:w="3110" w:type="dxa"/>
            <w:tcBorders>
              <w:top w:val="nil"/>
            </w:tcBorders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9298" w:type="dxa"/>
            <w:gridSpan w:val="3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Системи безпеки</w:t>
            </w:r>
          </w:p>
        </w:tc>
      </w:tr>
      <w:tr w:rsidR="00F54B33">
        <w:tc>
          <w:tcPr>
            <w:tcW w:w="3066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Arial"/>
                <w:color w:val="000000"/>
                <w:sz w:val="20"/>
                <w:szCs w:val="20"/>
                <w:lang w:val="uk-UA"/>
              </w:rPr>
              <w:t xml:space="preserve">ABS + BA + EBD - </w:t>
            </w:r>
            <w:proofErr w:type="spellStart"/>
            <w:r>
              <w:rPr>
                <w:rFonts w:ascii="Times New Roman" w:eastAsia="Calibri" w:hAnsi="Times New Roman" w:cs="Arial"/>
                <w:color w:val="000000"/>
                <w:sz w:val="20"/>
                <w:szCs w:val="20"/>
                <w:lang w:val="uk-UA"/>
              </w:rPr>
              <w:t>антиблокувальна</w:t>
            </w:r>
            <w:proofErr w:type="spellEnd"/>
            <w:r>
              <w:rPr>
                <w:rFonts w:ascii="Times New Roman" w:eastAsia="Calibri" w:hAnsi="Times New Roman" w:cs="Arial"/>
                <w:color w:val="000000"/>
                <w:sz w:val="20"/>
                <w:szCs w:val="20"/>
                <w:lang w:val="uk-UA"/>
              </w:rPr>
              <w:t xml:space="preserve"> система гальмування</w:t>
            </w:r>
            <w:r>
              <w:rPr>
                <w:rFonts w:ascii="Times New Roman" w:eastAsia="Calibri" w:hAnsi="Times New Roman" w:cs="Arial"/>
                <w:color w:val="000000"/>
                <w:sz w:val="20"/>
                <w:szCs w:val="20"/>
                <w:lang w:val="uk-UA"/>
              </w:rPr>
              <w:t xml:space="preserve"> з системою допомоги при екстреному гальмуванні та електронною </w:t>
            </w:r>
            <w:r>
              <w:rPr>
                <w:rFonts w:ascii="Times New Roman" w:eastAsia="Calibri" w:hAnsi="Times New Roman" w:cs="Arial"/>
                <w:color w:val="000000"/>
                <w:sz w:val="20"/>
                <w:szCs w:val="20"/>
                <w:lang w:val="uk-UA"/>
              </w:rPr>
              <w:lastRenderedPageBreak/>
              <w:t>системою розподілу гальмівного зусилля</w:t>
            </w:r>
          </w:p>
        </w:tc>
        <w:tc>
          <w:tcPr>
            <w:tcW w:w="3122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так</w:t>
            </w:r>
          </w:p>
        </w:tc>
        <w:tc>
          <w:tcPr>
            <w:tcW w:w="3110" w:type="dxa"/>
            <w:tcBorders>
              <w:top w:val="nil"/>
            </w:tcBorders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uk-UA"/>
              </w:rPr>
              <w:lastRenderedPageBreak/>
              <w:t xml:space="preserve">TRC - </w:t>
            </w: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uk-UA"/>
              </w:rPr>
              <w:t>протибуксувальна</w:t>
            </w:r>
            <w:proofErr w:type="spellEnd"/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uk-UA"/>
              </w:rPr>
              <w:t xml:space="preserve"> система</w:t>
            </w:r>
          </w:p>
        </w:tc>
        <w:tc>
          <w:tcPr>
            <w:tcW w:w="3122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110" w:type="dxa"/>
            <w:tcBorders>
              <w:top w:val="nil"/>
            </w:tcBorders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uk-UA"/>
              </w:rPr>
              <w:t>VSC - система стабілізації автомобіля</w:t>
            </w:r>
          </w:p>
        </w:tc>
        <w:tc>
          <w:tcPr>
            <w:tcW w:w="3122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110" w:type="dxa"/>
            <w:tcBorders>
              <w:top w:val="nil"/>
            </w:tcBorders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uk-UA"/>
              </w:rPr>
              <w:t>НАС - система допомоги старту на підйомі</w:t>
            </w:r>
          </w:p>
        </w:tc>
        <w:tc>
          <w:tcPr>
            <w:tcW w:w="3122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110" w:type="dxa"/>
            <w:tcBorders>
              <w:top w:val="nil"/>
            </w:tcBorders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uk-UA"/>
              </w:rPr>
              <w:t xml:space="preserve">Подушки безпеки </w:t>
            </w:r>
            <w:r>
              <w:rPr>
                <w:rFonts w:ascii="Times New Roman" w:hAnsi="Times New Roman" w:cs="Arial"/>
                <w:sz w:val="20"/>
                <w:szCs w:val="20"/>
                <w:lang w:val="uk-UA"/>
              </w:rPr>
              <w:t xml:space="preserve">фронтальні для водія та переднього пасажира </w:t>
            </w:r>
          </w:p>
        </w:tc>
        <w:tc>
          <w:tcPr>
            <w:tcW w:w="3122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110" w:type="dxa"/>
            <w:tcBorders>
              <w:top w:val="nil"/>
            </w:tcBorders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uk-UA"/>
              </w:rPr>
              <w:t xml:space="preserve">Подушки безпеки </w:t>
            </w:r>
            <w:r>
              <w:rPr>
                <w:rFonts w:ascii="Times New Roman" w:hAnsi="Times New Roman" w:cs="Arial"/>
                <w:sz w:val="20"/>
                <w:szCs w:val="20"/>
                <w:lang w:val="uk-UA"/>
              </w:rPr>
              <w:t>бокові для водія та переднього пасажира</w:t>
            </w:r>
          </w:p>
        </w:tc>
        <w:tc>
          <w:tcPr>
            <w:tcW w:w="3122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110" w:type="dxa"/>
            <w:tcBorders>
              <w:top w:val="nil"/>
            </w:tcBorders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uk-UA"/>
              </w:rPr>
              <w:t>Вимикач подушки безпеки переднього пасажира</w:t>
            </w:r>
          </w:p>
        </w:tc>
        <w:tc>
          <w:tcPr>
            <w:tcW w:w="3122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110" w:type="dxa"/>
            <w:tcBorders>
              <w:top w:val="nil"/>
            </w:tcBorders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uk-UA"/>
              </w:rPr>
              <w:t>Переднатяжні</w:t>
            </w:r>
            <w:proofErr w:type="spellEnd"/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uk-UA"/>
              </w:rPr>
              <w:t xml:space="preserve"> пристрої з силовими обмежувачами ременів безпеки</w:t>
            </w:r>
          </w:p>
        </w:tc>
        <w:tc>
          <w:tcPr>
            <w:tcW w:w="3122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110" w:type="dxa"/>
            <w:tcBorders>
              <w:top w:val="nil"/>
            </w:tcBorders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uk-UA"/>
              </w:rPr>
              <w:t xml:space="preserve">Візуальне та звукове 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uk-UA"/>
              </w:rPr>
              <w:t>попередження про непристебнуті ремені безпеки</w:t>
            </w:r>
          </w:p>
        </w:tc>
        <w:tc>
          <w:tcPr>
            <w:tcW w:w="3122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110" w:type="dxa"/>
            <w:tcBorders>
              <w:top w:val="nil"/>
            </w:tcBorders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9298" w:type="dxa"/>
            <w:gridSpan w:val="3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  <w:lang w:val="uk-UA"/>
              </w:rPr>
              <w:t>Комфорт</w:t>
            </w:r>
          </w:p>
        </w:tc>
      </w:tr>
      <w:tr w:rsidR="00F54B33">
        <w:tc>
          <w:tcPr>
            <w:tcW w:w="3066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uk-UA"/>
              </w:rPr>
              <w:t>Електропідсилювач</w:t>
            </w:r>
            <w:proofErr w:type="spellEnd"/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uk-UA"/>
              </w:rPr>
              <w:t xml:space="preserve"> керма</w:t>
            </w:r>
          </w:p>
        </w:tc>
        <w:tc>
          <w:tcPr>
            <w:tcW w:w="3122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110" w:type="dxa"/>
            <w:tcBorders>
              <w:top w:val="nil"/>
            </w:tcBorders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uk-UA"/>
              </w:rPr>
              <w:t>Регулювання положення керма за висотою та глибиною</w:t>
            </w:r>
          </w:p>
        </w:tc>
        <w:tc>
          <w:tcPr>
            <w:tcW w:w="3122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110" w:type="dxa"/>
            <w:tcBorders>
              <w:top w:val="nil"/>
            </w:tcBorders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uk-UA"/>
              </w:rPr>
              <w:t>Кондиціонер</w:t>
            </w:r>
          </w:p>
        </w:tc>
        <w:tc>
          <w:tcPr>
            <w:tcW w:w="3122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110" w:type="dxa"/>
            <w:tcBorders>
              <w:top w:val="nil"/>
            </w:tcBorders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val="uk-UA"/>
              </w:rPr>
              <w:t>Аудіосистема</w:t>
            </w:r>
            <w:proofErr w:type="spellEnd"/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Arial"/>
                <w:sz w:val="20"/>
                <w:szCs w:val="20"/>
                <w:lang w:val="uk-UA"/>
              </w:rPr>
              <w:t>(радіоприймач, MP3/WMA-програвач) та 4 динаміки</w:t>
            </w:r>
          </w:p>
        </w:tc>
        <w:tc>
          <w:tcPr>
            <w:tcW w:w="3122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110" w:type="dxa"/>
            <w:tcBorders>
              <w:top w:val="nil"/>
            </w:tcBorders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uk-UA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val="uk-UA"/>
              </w:rPr>
              <w:t>аудіосистемою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  <w:lang w:val="uk-UA"/>
              </w:rPr>
              <w:t xml:space="preserve"> та телефоном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val="uk-UA"/>
              </w:rPr>
              <w:t>підкермовим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  <w:lang w:val="uk-UA"/>
              </w:rPr>
              <w:t xml:space="preserve"> важелем</w:t>
            </w:r>
          </w:p>
        </w:tc>
        <w:tc>
          <w:tcPr>
            <w:tcW w:w="3122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110" w:type="dxa"/>
            <w:tcBorders>
              <w:top w:val="nil"/>
            </w:tcBorders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uk-UA"/>
              </w:rPr>
              <w:t xml:space="preserve">Система безпровідного зв'язку за протоколом </w:t>
            </w: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uk-UA"/>
              </w:rPr>
              <w:t>Bluetooth</w:t>
            </w:r>
            <w:proofErr w:type="spellEnd"/>
          </w:p>
        </w:tc>
        <w:tc>
          <w:tcPr>
            <w:tcW w:w="3122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110" w:type="dxa"/>
            <w:tcBorders>
              <w:top w:val="nil"/>
            </w:tcBorders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uk-UA"/>
              </w:rPr>
              <w:t>Роз'єм для підключення USB-пристроїв</w:t>
            </w:r>
          </w:p>
        </w:tc>
        <w:tc>
          <w:tcPr>
            <w:tcW w:w="3122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110" w:type="dxa"/>
            <w:tcBorders>
              <w:top w:val="nil"/>
            </w:tcBorders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54B33">
        <w:tc>
          <w:tcPr>
            <w:tcW w:w="3066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uk-UA"/>
              </w:rPr>
              <w:t>Розетка 12В в центральній консолі</w:t>
            </w:r>
          </w:p>
        </w:tc>
        <w:tc>
          <w:tcPr>
            <w:tcW w:w="3122" w:type="dxa"/>
            <w:tcBorders>
              <w:top w:val="nil"/>
            </w:tcBorders>
          </w:tcPr>
          <w:p w:rsidR="00F54B33" w:rsidRDefault="00D33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110" w:type="dxa"/>
            <w:tcBorders>
              <w:top w:val="nil"/>
            </w:tcBorders>
          </w:tcPr>
          <w:p w:rsidR="00F54B33" w:rsidRDefault="00F5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F54B33" w:rsidRDefault="00D33E39">
      <w:pPr>
        <w:rPr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*всі посилання на торговельну марку, фірму, патент, конструкцію або тип предмета закупівлі, джерело його походження або виробника слід читати </w:t>
      </w:r>
      <w:r>
        <w:rPr>
          <w:rFonts w:ascii="Times New Roman" w:hAnsi="Times New Roman" w:cs="Times New Roman"/>
          <w:b/>
          <w:i/>
          <w:lang w:val="uk-UA"/>
        </w:rPr>
        <w:t>як «або еквівалент».</w:t>
      </w:r>
    </w:p>
    <w:p w:rsidR="00F54B33" w:rsidRDefault="00F54B33">
      <w:pPr>
        <w:rPr>
          <w:rFonts w:ascii="Times New Roman" w:hAnsi="Times New Roman" w:cs="Times New Roman"/>
          <w:i/>
          <w:lang w:val="uk-UA"/>
        </w:rPr>
      </w:pPr>
    </w:p>
    <w:p w:rsidR="00F54B33" w:rsidRDefault="00D33E39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Характеристики Товару та умови поставки:</w:t>
      </w:r>
    </w:p>
    <w:p w:rsidR="00F54B33" w:rsidRDefault="00D33E39">
      <w:pPr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>1. Предмет закупівлі повинен бути новим і таким, що</w:t>
      </w:r>
      <w:r>
        <w:rPr>
          <w:rFonts w:ascii="Times New Roman" w:hAnsi="Times New Roman" w:cs="Times New Roman"/>
          <w:lang w:val="uk-UA"/>
        </w:rPr>
        <w:t xml:space="preserve"> відповідає вітчизняним і міжнародним стандартам якості, без слідів експлуатаційного використання, відповідати технічним вимогам заводу виробника, в зібраному, перевіреному та готовому до використання за призначенням стані, не раніше 202</w:t>
      </w:r>
      <w:r w:rsidRPr="00D33E3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uk-UA"/>
        </w:rPr>
        <w:t xml:space="preserve"> року випуску </w:t>
      </w:r>
    </w:p>
    <w:p w:rsidR="00F54B33" w:rsidRDefault="00D33E39">
      <w:pPr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</w:t>
      </w:r>
      <w:r>
        <w:rPr>
          <w:rFonts w:ascii="Times New Roman" w:hAnsi="Times New Roman" w:cs="Times New Roman"/>
          <w:lang w:val="uk-UA"/>
        </w:rPr>
        <w:t xml:space="preserve">Доставка товару здійснюється за рахунок постачальника, товар супроводжується документами, що підтверджують його якість, кількість та ін. Приймання товару по якості і кількості здійснюється в присутності уповноважених представників обох Сторін. </w:t>
      </w:r>
    </w:p>
    <w:p w:rsidR="00F54B33" w:rsidRDefault="00D33E39">
      <w:pPr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>3. У разі п</w:t>
      </w:r>
      <w:r>
        <w:rPr>
          <w:rFonts w:ascii="Times New Roman" w:hAnsi="Times New Roman" w:cs="Times New Roman"/>
          <w:lang w:val="uk-UA"/>
        </w:rPr>
        <w:t xml:space="preserve">ошкодження товару під час транспортування Постачальник бере на себе зобов’язання замінити на новий товар. </w:t>
      </w:r>
    </w:p>
    <w:p w:rsidR="00F54B33" w:rsidRDefault="00D33E39">
      <w:pPr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 Гарантія на автомобіль повинна становити не менше 3 років або 100 000 км. пробігу (залежно від того, що настане раніше). Періодичність технічного </w:t>
      </w:r>
      <w:r>
        <w:rPr>
          <w:rFonts w:ascii="Times New Roman" w:hAnsi="Times New Roman" w:cs="Times New Roman"/>
          <w:lang w:val="uk-UA"/>
        </w:rPr>
        <w:t>обслуговування (ТО) кожні 15 000 км пробігу або 1 рік, в залежності від того, що настане раніше. Учасник повинен забезпечувати здійснення технічного нагляду, гарантійного та сервісного обслуговування техніки протягом гарантійного терміну експлуатації на те</w:t>
      </w:r>
      <w:r>
        <w:rPr>
          <w:rFonts w:ascii="Times New Roman" w:hAnsi="Times New Roman" w:cs="Times New Roman"/>
          <w:lang w:val="uk-UA"/>
        </w:rPr>
        <w:t>риторії України</w:t>
      </w:r>
      <w:r>
        <w:rPr>
          <w:rFonts w:ascii="Times New Roman" w:hAnsi="Times New Roman" w:cs="Times New Roman"/>
          <w:lang w:val="uk-UA"/>
        </w:rPr>
        <w:t xml:space="preserve">. Антикорозійна гарантія не менше 6 років. </w:t>
      </w:r>
    </w:p>
    <w:p w:rsidR="00F54B33" w:rsidRDefault="00D33E39">
      <w:pPr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5. Якщо в тексті тендерної документації є посилання на конкретну торгівельну марку чи фірму, патент, конструкцію або тип предмета закупівлі, джер</w:t>
      </w:r>
      <w:r>
        <w:rPr>
          <w:rFonts w:ascii="Times New Roman" w:hAnsi="Times New Roman" w:cs="Times New Roman"/>
          <w:lang w:val="uk-UA"/>
        </w:rPr>
        <w:t xml:space="preserve">ело його походження або виробника слід вважати, що таке посилання містить вираз «аналог та/або еквівалент» та приймаються у тендерних пропозиціях учасника. У разі подачі аналогу/еквіваленту товару, що запропонований Замовником в технічних вимогах, учасник </w:t>
      </w:r>
      <w:r>
        <w:rPr>
          <w:rFonts w:ascii="Times New Roman" w:hAnsi="Times New Roman" w:cs="Times New Roman"/>
          <w:lang w:val="uk-UA"/>
        </w:rPr>
        <w:t xml:space="preserve">подає порівняльну характеристику запропонованого ним товару, що визначена в технічному завданні, з відомостями щодо відповідності вимогам Замовника. </w:t>
      </w:r>
    </w:p>
    <w:p w:rsidR="00F54B33" w:rsidRDefault="00D33E39">
      <w:pPr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>6. У разі виявлення Замовником невідповідності запропонованого товару визначеним вимогам в технічному завд</w:t>
      </w:r>
      <w:r>
        <w:rPr>
          <w:rFonts w:ascii="Times New Roman" w:hAnsi="Times New Roman" w:cs="Times New Roman"/>
          <w:lang w:val="uk-UA"/>
        </w:rPr>
        <w:t>анні, або запропонований товар не може, як еквівалент, використовуватись за призначенням, така пропозиція учасника за рішенням тендерного комітету Замовника може бути відхилена, як така, що не відповідає вимогам Замовника визначеним в тендерній документаці</w:t>
      </w:r>
      <w:r>
        <w:rPr>
          <w:rFonts w:ascii="Times New Roman" w:hAnsi="Times New Roman" w:cs="Times New Roman"/>
          <w:lang w:val="uk-UA"/>
        </w:rPr>
        <w:t xml:space="preserve">ї, зокрема в технічній частині предмета закупівлі. </w:t>
      </w:r>
    </w:p>
    <w:p w:rsidR="00F54B33" w:rsidRDefault="00D33E39">
      <w:pPr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>7. Характеристики запропонованого товару мають бути відповідними або кращим ніж у технічних вимогах Замовника. Не приймаються пропозиції на товар, який вироблений в країні(ах) до якої(</w:t>
      </w:r>
      <w:proofErr w:type="spellStart"/>
      <w:r>
        <w:rPr>
          <w:rFonts w:ascii="Times New Roman" w:hAnsi="Times New Roman" w:cs="Times New Roman"/>
          <w:lang w:val="uk-UA"/>
        </w:rPr>
        <w:t>их</w:t>
      </w:r>
      <w:proofErr w:type="spellEnd"/>
      <w:r>
        <w:rPr>
          <w:rFonts w:ascii="Times New Roman" w:hAnsi="Times New Roman" w:cs="Times New Roman"/>
          <w:lang w:val="uk-UA"/>
        </w:rPr>
        <w:t>) застосовуються с</w:t>
      </w:r>
      <w:r>
        <w:rPr>
          <w:rFonts w:ascii="Times New Roman" w:hAnsi="Times New Roman" w:cs="Times New Roman"/>
          <w:lang w:val="uk-UA"/>
        </w:rPr>
        <w:t xml:space="preserve">анкції (персональні, спеціальні, економічні та інші обмежувальні заходи). </w:t>
      </w:r>
    </w:p>
    <w:p w:rsidR="00F54B33" w:rsidRDefault="00D33E39">
      <w:pPr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>8. На момент поставки додатково надаються сертифікати відповідності на товар або інші документи, які посвідчують якість товару, що є предметом закупівлі та всі інші документи, що по</w:t>
      </w:r>
      <w:r>
        <w:rPr>
          <w:rFonts w:ascii="Times New Roman" w:hAnsi="Times New Roman" w:cs="Times New Roman"/>
          <w:lang w:val="uk-UA"/>
        </w:rPr>
        <w:t xml:space="preserve">трібні для реєстрації легкового автомобілю. </w:t>
      </w:r>
    </w:p>
    <w:p w:rsidR="00F54B33" w:rsidRDefault="00D33E39">
      <w:pPr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9. Учасник повинен в складі тендерної пропозиції документально гарантувати, що будуть застосовуватися заходи із захисту довкілля. </w:t>
      </w:r>
    </w:p>
    <w:p w:rsidR="00F54B33" w:rsidRDefault="00D33E39">
      <w:pPr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10. Учасник має бути офіційним дилером/ дистриб’ютором /представником виробника </w:t>
      </w:r>
      <w:r>
        <w:rPr>
          <w:rFonts w:ascii="Times New Roman" w:hAnsi="Times New Roman" w:cs="Times New Roman"/>
          <w:lang w:val="uk-UA"/>
        </w:rPr>
        <w:t xml:space="preserve">товару на території України (на підтвердження надається копія дилерського/дистриб’юторського договору або копія витягу з дилерського/дистриб’юторського договору або копія сертифікату дилера/дистриб’ютора). </w:t>
      </w:r>
    </w:p>
    <w:p w:rsidR="00F54B33" w:rsidRDefault="00D33E39">
      <w:pPr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11. Автомобіль не повинен знаходитися під </w:t>
      </w:r>
      <w:r>
        <w:rPr>
          <w:rFonts w:ascii="Times New Roman" w:hAnsi="Times New Roman" w:cs="Times New Roman"/>
          <w:lang w:val="uk-UA"/>
        </w:rPr>
        <w:t>заставою або під арештом.</w:t>
      </w:r>
    </w:p>
    <w:p w:rsidR="00F54B33" w:rsidRDefault="00D33E39">
      <w:pPr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>12. Поставка товару повинна здійснитись до 15.08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>.2022 року.</w:t>
      </w:r>
    </w:p>
    <w:p w:rsidR="00F54B33" w:rsidRDefault="00F54B33">
      <w:pPr>
        <w:jc w:val="both"/>
        <w:rPr>
          <w:rFonts w:ascii="Times New Roman" w:hAnsi="Times New Roman" w:cs="Times New Roman"/>
          <w:lang w:val="uk-UA"/>
        </w:rPr>
      </w:pPr>
    </w:p>
    <w:p w:rsidR="00F54B33" w:rsidRDefault="00D33E39">
      <w:pPr>
        <w:spacing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Ми, _____</w:t>
      </w:r>
      <w:r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>(назва Учасника)</w:t>
      </w:r>
      <w:r>
        <w:rPr>
          <w:rFonts w:ascii="Times New Roman" w:hAnsi="Times New Roman" w:cs="Times New Roman"/>
          <w:b/>
          <w:lang w:val="uk-UA"/>
        </w:rPr>
        <w:t xml:space="preserve">______ підтверджуємо та гарантуємо виконання вищезазначені вимоги </w:t>
      </w:r>
    </w:p>
    <w:p w:rsidR="00F54B33" w:rsidRDefault="00D33E39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Замовника.</w:t>
      </w:r>
    </w:p>
    <w:p w:rsidR="00F54B33" w:rsidRDefault="00D33E39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_______________________    _____________________________   _______</w:t>
      </w:r>
      <w:r>
        <w:rPr>
          <w:rFonts w:ascii="Times New Roman" w:hAnsi="Times New Roman" w:cs="Times New Roman"/>
          <w:b/>
          <w:lang w:val="uk-UA"/>
        </w:rPr>
        <w:t>_______________________</w:t>
      </w:r>
    </w:p>
    <w:p w:rsidR="00F54B33" w:rsidRDefault="00D33E39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(посада)                                          (підпис, М.П.)                                             (Прізвище, Ініціали)</w:t>
      </w:r>
    </w:p>
    <w:p w:rsidR="00F54B33" w:rsidRDefault="00F54B33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54B33" w:rsidRDefault="00D33E39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Додатково: </w:t>
      </w:r>
    </w:p>
    <w:p w:rsidR="00F54B33" w:rsidRDefault="00D33E39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У складі своєї пропозиції Учасник повинен надати: </w:t>
      </w:r>
    </w:p>
    <w:p w:rsidR="00F54B33" w:rsidRDefault="00D33E39">
      <w:pPr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>1. Довідку, складену в</w:t>
      </w:r>
      <w:r>
        <w:rPr>
          <w:rFonts w:ascii="Times New Roman" w:hAnsi="Times New Roman" w:cs="Times New Roman"/>
          <w:lang w:val="uk-UA"/>
        </w:rPr>
        <w:t xml:space="preserve"> довільній формі, з обов’язковим зазначенням країни походження товару, що пропонується Учасником. </w:t>
      </w:r>
    </w:p>
    <w:p w:rsidR="00F54B33" w:rsidRDefault="00D33E39">
      <w:pPr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>2. Довідку, складену в довільній формі, в якій Учасник повинен вказати перелік сервісних центрів на яких можливе гарантійне та післягарантійне обслуговування</w:t>
      </w:r>
      <w:r>
        <w:rPr>
          <w:rFonts w:ascii="Times New Roman" w:hAnsi="Times New Roman" w:cs="Times New Roman"/>
          <w:lang w:val="uk-UA"/>
        </w:rPr>
        <w:t xml:space="preserve"> легкового автомобіля на території міста Києва та/або Бориспільського району Київської області. </w:t>
      </w:r>
    </w:p>
    <w:p w:rsidR="00F54B33" w:rsidRDefault="00D33E39">
      <w:pPr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>3. Довідку, складену в довільній формі про службових (посадових) осіб учасника, яких уповноважено учасником представляти його інтереси під час проведення проце</w:t>
      </w:r>
      <w:r>
        <w:rPr>
          <w:rFonts w:ascii="Times New Roman" w:hAnsi="Times New Roman" w:cs="Times New Roman"/>
          <w:lang w:val="uk-UA"/>
        </w:rPr>
        <w:t xml:space="preserve">дури закупівлі (для юридичних осіб, для фізичних осіб, у тому числі фізичних осіб-підприємців). </w:t>
      </w:r>
    </w:p>
    <w:p w:rsidR="00F54B33" w:rsidRDefault="00D33E39">
      <w:pPr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4. Довідку, складену учасником в довільній формі, яка містить відомості про підприємство: </w:t>
      </w:r>
    </w:p>
    <w:p w:rsidR="00F54B33" w:rsidRDefault="00D33E39">
      <w:pPr>
        <w:ind w:left="851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а) реквізити (місцезнаходження, телефон, факс); </w:t>
      </w:r>
    </w:p>
    <w:p w:rsidR="00F54B33" w:rsidRDefault="00D33E39">
      <w:pPr>
        <w:ind w:left="851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б) керівництво (посада, прізвище, ім’я, по батькові); </w:t>
      </w:r>
    </w:p>
    <w:p w:rsidR="00F54B33" w:rsidRDefault="00D33E39">
      <w:pPr>
        <w:ind w:left="851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в) інформація про реквізити банківського рахунку, за якими буде здійснюватися оплата за договором (для юридичних осіб, для фізичних осіб, у тому числі фізичних осіб-підприємців). </w:t>
      </w:r>
    </w:p>
    <w:p w:rsidR="00F54B33" w:rsidRDefault="00D33E39">
      <w:pPr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>5. Довідка з обслугов</w:t>
      </w:r>
      <w:r>
        <w:rPr>
          <w:rFonts w:ascii="Times New Roman" w:hAnsi="Times New Roman" w:cs="Times New Roman"/>
          <w:lang w:val="uk-UA"/>
        </w:rPr>
        <w:t xml:space="preserve">уючого банку про відкриття поточного рахунку (рахунків) та відсутність (наявність) заборгованості за кредитами, видана не раніше дати публікації оголошення про заплановану закупівлю. </w:t>
      </w:r>
    </w:p>
    <w:p w:rsidR="00F54B33" w:rsidRDefault="00D33E39">
      <w:pPr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>6. Довідку, складену учасником у довільній формі, про можливість вчасної</w:t>
      </w:r>
      <w:r>
        <w:rPr>
          <w:rFonts w:ascii="Times New Roman" w:hAnsi="Times New Roman" w:cs="Times New Roman"/>
          <w:lang w:val="uk-UA"/>
        </w:rPr>
        <w:t xml:space="preserve"> та якісної поставки товарів на умовах, викладених в тендерній документації.</w:t>
      </w:r>
    </w:p>
    <w:sectPr w:rsidR="00F54B3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33"/>
    <w:rsid w:val="00D33E39"/>
    <w:rsid w:val="00F5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BEE4"/>
  <w15:docId w15:val="{AE0AC30F-A7B9-4CF5-A87D-B874D2D0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605A2"/>
  </w:style>
  <w:style w:type="character" w:customStyle="1" w:styleId="a4">
    <w:name w:val="Нижний колонтитул Знак"/>
    <w:basedOn w:val="a0"/>
    <w:uiPriority w:val="99"/>
    <w:qFormat/>
    <w:rsid w:val="00A605A2"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uiPriority w:val="99"/>
    <w:unhideWhenUsed/>
    <w:rsid w:val="00A605A2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uiPriority w:val="99"/>
    <w:unhideWhenUsed/>
    <w:rsid w:val="00A605A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114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dc:description/>
  <cp:lastModifiedBy>User Windows</cp:lastModifiedBy>
  <cp:revision>2</cp:revision>
  <dcterms:created xsi:type="dcterms:W3CDTF">2022-06-14T08:39:00Z</dcterms:created>
  <dcterms:modified xsi:type="dcterms:W3CDTF">2022-06-14T08:39:00Z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