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CB" w:rsidRPr="004F04C8" w:rsidRDefault="004919CB" w:rsidP="0041461F">
      <w:pPr>
        <w:spacing w:after="0"/>
        <w:ind w:left="9498"/>
        <w:outlineLvl w:val="0"/>
        <w:rPr>
          <w:rFonts w:eastAsia="Calibri" w:cs="Times New Roman"/>
          <w:b/>
          <w:bCs/>
          <w:sz w:val="24"/>
          <w:szCs w:val="24"/>
        </w:rPr>
      </w:pPr>
      <w:r w:rsidRPr="004F04C8">
        <w:rPr>
          <w:rFonts w:eastAsia="Calibri" w:cs="Times New Roman"/>
          <w:b/>
          <w:bCs/>
          <w:sz w:val="24"/>
          <w:szCs w:val="24"/>
        </w:rPr>
        <w:t>Затверджено</w:t>
      </w:r>
    </w:p>
    <w:p w:rsidR="004919CB" w:rsidRPr="004F04C8" w:rsidRDefault="004919CB" w:rsidP="0041461F">
      <w:pPr>
        <w:spacing w:after="0"/>
        <w:ind w:left="9498"/>
        <w:outlineLvl w:val="0"/>
        <w:rPr>
          <w:rFonts w:eastAsia="Calibri" w:cs="Times New Roman"/>
          <w:b/>
          <w:bCs/>
          <w:sz w:val="24"/>
          <w:szCs w:val="24"/>
        </w:rPr>
      </w:pPr>
      <w:r w:rsidRPr="004F04C8">
        <w:rPr>
          <w:rFonts w:eastAsia="Calibri" w:cs="Times New Roman"/>
          <w:b/>
          <w:bCs/>
          <w:sz w:val="24"/>
          <w:szCs w:val="24"/>
        </w:rPr>
        <w:t xml:space="preserve">Рішенням </w:t>
      </w:r>
      <w:r w:rsidR="00353FD4" w:rsidRPr="004F04C8">
        <w:rPr>
          <w:rFonts w:eastAsia="Calibri" w:cs="Times New Roman"/>
          <w:b/>
          <w:bCs/>
          <w:sz w:val="24"/>
          <w:szCs w:val="24"/>
        </w:rPr>
        <w:t>уповноваженої особи</w:t>
      </w:r>
    </w:p>
    <w:p w:rsidR="004919CB" w:rsidRPr="004F04C8" w:rsidRDefault="001D3762" w:rsidP="0041461F">
      <w:pPr>
        <w:spacing w:after="0"/>
        <w:ind w:left="9498"/>
        <w:outlineLvl w:val="0"/>
        <w:rPr>
          <w:rFonts w:eastAsia="Calibri" w:cs="Times New Roman"/>
          <w:b/>
          <w:bCs/>
          <w:sz w:val="24"/>
          <w:szCs w:val="24"/>
        </w:rPr>
      </w:pPr>
      <w:r w:rsidRPr="001D3762">
        <w:rPr>
          <w:rFonts w:eastAsia="Calibri" w:cs="Times New Roman"/>
          <w:b/>
          <w:bCs/>
          <w:sz w:val="24"/>
          <w:szCs w:val="24"/>
        </w:rPr>
        <w:t>протокол № 61 від  15</w:t>
      </w:r>
      <w:r w:rsidR="004919CB" w:rsidRPr="001D3762">
        <w:rPr>
          <w:rFonts w:eastAsia="Calibri" w:cs="Times New Roman"/>
          <w:b/>
          <w:bCs/>
          <w:sz w:val="24"/>
          <w:szCs w:val="24"/>
        </w:rPr>
        <w:t>.</w:t>
      </w:r>
      <w:r w:rsidR="006E4288" w:rsidRPr="001D3762">
        <w:rPr>
          <w:rFonts w:eastAsia="Calibri" w:cs="Times New Roman"/>
          <w:b/>
          <w:bCs/>
          <w:sz w:val="24"/>
          <w:szCs w:val="24"/>
        </w:rPr>
        <w:t>12</w:t>
      </w:r>
      <w:r w:rsidR="005C642C" w:rsidRPr="001D3762">
        <w:rPr>
          <w:rFonts w:eastAsia="Calibri" w:cs="Times New Roman"/>
          <w:b/>
          <w:bCs/>
          <w:sz w:val="24"/>
          <w:szCs w:val="24"/>
        </w:rPr>
        <w:t>.</w:t>
      </w:r>
      <w:r w:rsidR="004919CB" w:rsidRPr="001D3762">
        <w:rPr>
          <w:rFonts w:eastAsia="Calibri" w:cs="Times New Roman"/>
          <w:b/>
          <w:bCs/>
          <w:sz w:val="24"/>
          <w:szCs w:val="24"/>
        </w:rPr>
        <w:t>202</w:t>
      </w:r>
      <w:r w:rsidR="009A5635" w:rsidRPr="001D3762">
        <w:rPr>
          <w:rFonts w:eastAsia="Calibri" w:cs="Times New Roman"/>
          <w:b/>
          <w:bCs/>
          <w:sz w:val="24"/>
          <w:szCs w:val="24"/>
        </w:rPr>
        <w:t>3</w:t>
      </w:r>
      <w:r w:rsidR="004919CB" w:rsidRPr="001D3762">
        <w:rPr>
          <w:rFonts w:eastAsia="Calibri" w:cs="Times New Roman"/>
          <w:b/>
          <w:bCs/>
          <w:sz w:val="24"/>
          <w:szCs w:val="24"/>
        </w:rPr>
        <w:t xml:space="preserve"> року</w:t>
      </w:r>
    </w:p>
    <w:p w:rsidR="004919CB" w:rsidRPr="004F04C8" w:rsidRDefault="004919CB" w:rsidP="0041461F">
      <w:pPr>
        <w:shd w:val="clear" w:color="auto" w:fill="FFFFFF"/>
        <w:spacing w:after="0"/>
        <w:ind w:left="9498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19CB" w:rsidRPr="004F04C8" w:rsidRDefault="004919CB" w:rsidP="004919CB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ПЕРЕЛІК ЗМІН</w:t>
      </w:r>
    </w:p>
    <w:p w:rsidR="0041461F" w:rsidRPr="004F04C8" w:rsidRDefault="00E21686" w:rsidP="0041461F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4919CB"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9A5635"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тендерної документації </w:t>
      </w:r>
      <w:r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щодо проведення відкритих торгів з особливостями на закупівлю </w:t>
      </w:r>
      <w:r w:rsidR="0041461F"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Електрична енергія, код 09310000-5 – Електрична енергія за ДК 021:2015 «Єдиний закупівельний словник» </w:t>
      </w:r>
    </w:p>
    <w:p w:rsidR="004919CB" w:rsidRPr="004F04C8" w:rsidRDefault="00E21686" w:rsidP="0041461F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057C91"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UA-2023-12-12-007355-a</w:t>
      </w:r>
      <w:r w:rsidRPr="004F04C8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E21686" w:rsidRPr="004F04C8" w:rsidRDefault="00E21686" w:rsidP="00E2168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2"/>
        <w:gridCol w:w="7513"/>
      </w:tblGrid>
      <w:tr w:rsidR="004919CB" w:rsidRPr="004F04C8" w:rsidTr="00577C56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B" w:rsidRPr="004F04C8" w:rsidRDefault="004919CB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4C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Зміст положень тендерної документації, затвердженої рішенням уповноваженої особи</w:t>
            </w:r>
            <w:r w:rsidR="009F2465" w:rsidRPr="004F04C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(стара редакція)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CB" w:rsidRPr="004F04C8" w:rsidRDefault="004919CB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04C8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Зміст положень тендерної документації в новій редакції </w:t>
            </w:r>
          </w:p>
        </w:tc>
      </w:tr>
      <w:tr w:rsidR="000A63C0" w:rsidRPr="004F04C8" w:rsidTr="005821AA">
        <w:trPr>
          <w:trHeight w:val="375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0" w:rsidRPr="004F04C8" w:rsidRDefault="000A63C0" w:rsidP="005821AA">
            <w:pPr>
              <w:spacing w:after="0"/>
              <w:ind w:firstLine="426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Положення </w:t>
            </w:r>
            <w:r w:rsidR="00057C91"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абзацу 4 </w:t>
            </w: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частини </w:t>
            </w:r>
            <w:r w:rsidR="00057C91"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розділу </w:t>
            </w:r>
            <w:r w:rsidR="00057C91"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057C91"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Інструкція з підготовки тендерної пропозиції</w:t>
            </w:r>
          </w:p>
        </w:tc>
      </w:tr>
      <w:tr w:rsidR="000A63C0" w:rsidRPr="004F04C8" w:rsidTr="00577C56">
        <w:trPr>
          <w:trHeight w:val="37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1" w:rsidRPr="00057C91" w:rsidRDefault="00057C91" w:rsidP="00057C91">
            <w:pPr>
              <w:spacing w:after="0"/>
              <w:ind w:right="93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057C91">
              <w:rPr>
                <w:rFonts w:eastAsia="Times New Roman" w:cs="Times New Roman"/>
                <w:b/>
                <w:lang w:eastAsia="ru-RU"/>
              </w:rPr>
              <w:t>Для підтвердження відповідності учасника кваліфікаційним критеріям, останній повинен надати документи згідно переліку, вказаного нижче, а саме: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5"/>
              <w:gridCol w:w="5526"/>
            </w:tblGrid>
            <w:tr w:rsidR="00057C91" w:rsidRPr="00057C91" w:rsidTr="00577C56">
              <w:trPr>
                <w:trHeight w:val="549"/>
              </w:trPr>
              <w:tc>
                <w:tcPr>
                  <w:tcW w:w="1765" w:type="dxa"/>
                  <w:vAlign w:val="center"/>
                </w:tcPr>
                <w:p w:rsidR="00057C91" w:rsidRPr="00057C91" w:rsidRDefault="00057C91" w:rsidP="00057C91">
                  <w:pPr>
                    <w:spacing w:after="0"/>
                    <w:ind w:right="125"/>
                    <w:jc w:val="center"/>
                    <w:rPr>
                      <w:rFonts w:eastAsia="Calibri" w:cs="Times New Roman"/>
                      <w:b/>
                      <w:i/>
                      <w:lang w:eastAsia="uk-UA"/>
                    </w:rPr>
                  </w:pPr>
                  <w:r w:rsidRPr="00057C91">
                    <w:rPr>
                      <w:rFonts w:eastAsia="Calibri" w:cs="Times New Roman"/>
                      <w:b/>
                      <w:i/>
                      <w:lang w:eastAsia="uk-UA"/>
                    </w:rPr>
                    <w:t>Кваліфікаційний критерій</w:t>
                  </w:r>
                </w:p>
              </w:tc>
              <w:tc>
                <w:tcPr>
                  <w:tcW w:w="5526" w:type="dxa"/>
                  <w:vAlign w:val="center"/>
                </w:tcPr>
                <w:p w:rsidR="00057C91" w:rsidRPr="00057C91" w:rsidRDefault="00057C91" w:rsidP="00057C91">
                  <w:pPr>
                    <w:spacing w:after="0"/>
                    <w:ind w:right="125"/>
                    <w:jc w:val="center"/>
                    <w:rPr>
                      <w:rFonts w:eastAsia="Calibri" w:cs="Times New Roman"/>
                      <w:b/>
                      <w:i/>
                      <w:lang w:eastAsia="uk-UA"/>
                    </w:rPr>
                  </w:pPr>
                  <w:r w:rsidRPr="00057C91">
                    <w:rPr>
                      <w:rFonts w:eastAsia="Calibri" w:cs="Times New Roman"/>
                      <w:b/>
                      <w:i/>
                      <w:lang w:eastAsia="uk-UA"/>
                    </w:rPr>
                    <w:t>Документальне підтвердження</w:t>
                  </w:r>
                </w:p>
              </w:tc>
            </w:tr>
            <w:tr w:rsidR="00057C91" w:rsidRPr="00057C91" w:rsidTr="00577C56">
              <w:trPr>
                <w:trHeight w:val="820"/>
              </w:trPr>
              <w:tc>
                <w:tcPr>
                  <w:tcW w:w="1765" w:type="dxa"/>
                  <w:vAlign w:val="center"/>
                </w:tcPr>
                <w:p w:rsidR="00057C91" w:rsidRPr="00057C91" w:rsidRDefault="00057C91" w:rsidP="00057C91">
                  <w:pPr>
                    <w:spacing w:after="160" w:line="259" w:lineRule="auto"/>
                    <w:ind w:right="127"/>
                    <w:jc w:val="center"/>
                    <w:rPr>
                      <w:rFonts w:eastAsia="Calibri" w:cs="Times New Roman"/>
                      <w:i/>
                    </w:rPr>
                  </w:pPr>
                  <w:r w:rsidRPr="00057C91">
                    <w:rPr>
                      <w:rFonts w:eastAsia="Calibri" w:cs="Times New Roman"/>
                      <w:i/>
                    </w:rPr>
                    <w:t>Наявність документально підтвердженого досвіду виконання аналогічного (аналогічних) за предметом закупівлі договору (договорів)</w:t>
                  </w:r>
                </w:p>
              </w:tc>
              <w:tc>
                <w:tcPr>
                  <w:tcW w:w="5526" w:type="dxa"/>
                  <w:vAlign w:val="center"/>
                </w:tcPr>
                <w:p w:rsidR="00057C91" w:rsidRPr="00057C91" w:rsidRDefault="00057C91" w:rsidP="00057C91">
                  <w:pPr>
                    <w:widowControl w:val="0"/>
                    <w:suppressAutoHyphens/>
                    <w:autoSpaceDN w:val="0"/>
                    <w:spacing w:after="0"/>
                    <w:ind w:left="34" w:right="-1" w:hanging="34"/>
                    <w:jc w:val="both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kern w:val="3"/>
                      <w:lang w:eastAsia="zh-CN" w:bidi="hi-IN"/>
                    </w:rPr>
                  </w:pP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Учасники надають </w:t>
                  </w:r>
                  <w:r w:rsidRPr="00057C91">
                    <w:rPr>
                      <w:rFonts w:eastAsia="Calibri" w:cs="Times New Roman"/>
                      <w:lang w:eastAsia="ru-RU"/>
                    </w:rPr>
                    <w:t>скановану з оригіналу/оригіналів та/або його/їхніх копію/копій</w:t>
                  </w:r>
                  <w:r w:rsidRPr="00057C91">
                    <w:rPr>
                      <w:rFonts w:eastAsia="Calibri" w:cs="Times New Roman"/>
                      <w:bCs/>
                      <w:color w:val="000000"/>
                      <w:lang w:eastAsia="zh-CN"/>
                    </w:rPr>
                    <w:t xml:space="preserve"> (завірені підписом та печаткою (у разінаявності)) 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договору/договорів на поставку товару за аналогічним показником цифри основного словника національного класифікатора України </w:t>
                  </w:r>
                  <w:r w:rsidRPr="00057C91">
                    <w:rPr>
                      <w:rFonts w:eastAsia="Calibri" w:cs="Times New Roman"/>
                      <w:b/>
                      <w:lang w:eastAsia="uk-UA"/>
                    </w:rPr>
                    <w:t>(</w:t>
                  </w:r>
                  <w:r w:rsidRPr="00057C91">
                    <w:rPr>
                      <w:rFonts w:eastAsia="Calibri" w:cs="Times New Roman"/>
                      <w:b/>
                    </w:rPr>
                    <w:t>ДК 021:2015 код 09310000-5 – Електрична енергія</w:t>
                  </w:r>
                  <w:r w:rsidRPr="00057C91">
                    <w:rPr>
                      <w:rFonts w:eastAsia="Calibri" w:cs="Times New Roman"/>
                      <w:b/>
                      <w:lang w:eastAsia="uk-UA"/>
                    </w:rPr>
                    <w:t xml:space="preserve">) 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>та підтверджуючі документи про його(їх) виконання (</w:t>
                  </w:r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позитивний відгук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 на офіційному бланку від замовника щодо виконання </w:t>
                  </w:r>
                  <w:r w:rsidRPr="00057C91">
                    <w:rPr>
                      <w:rFonts w:eastAsia="Calibri" w:cs="Times New Roman"/>
                      <w:strike/>
                      <w:lang w:eastAsia="uk-UA"/>
                    </w:rPr>
                    <w:t>в повному обсязі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 даного договору </w:t>
                  </w:r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або накладної(</w:t>
                  </w:r>
                  <w:proofErr w:type="spellStart"/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их</w:t>
                  </w:r>
                  <w:proofErr w:type="spellEnd"/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)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 про поставку товару </w:t>
                  </w:r>
                  <w:r w:rsidRPr="00057C91">
                    <w:rPr>
                      <w:rFonts w:eastAsia="Calibri" w:cs="Times New Roman"/>
                      <w:strike/>
                      <w:lang w:eastAsia="uk-UA"/>
                    </w:rPr>
                    <w:t>в повному обсязі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>).</w:t>
                  </w:r>
                </w:p>
              </w:tc>
            </w:tr>
          </w:tbl>
          <w:p w:rsidR="000A63C0" w:rsidRPr="004F04C8" w:rsidRDefault="000A63C0" w:rsidP="00057C91">
            <w:pPr>
              <w:spacing w:after="160" w:line="259" w:lineRule="auto"/>
              <w:jc w:val="both"/>
              <w:rPr>
                <w:rFonts w:eastAsia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1" w:rsidRPr="00057C91" w:rsidRDefault="00057C91" w:rsidP="00057C91">
            <w:pPr>
              <w:spacing w:after="0"/>
              <w:ind w:right="93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057C91">
              <w:rPr>
                <w:rFonts w:eastAsia="Times New Roman" w:cs="Times New Roman"/>
                <w:b/>
                <w:lang w:eastAsia="ru-RU"/>
              </w:rPr>
              <w:t>Для підтвердження відповідності учасника кваліфікаційним критеріям, останній повинен надати документи згідно переліку, вказаного нижче, а саме:</w:t>
            </w:r>
          </w:p>
          <w:tbl>
            <w:tblPr>
              <w:tblW w:w="7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5"/>
              <w:gridCol w:w="5489"/>
            </w:tblGrid>
            <w:tr w:rsidR="00057C91" w:rsidRPr="00057C91" w:rsidTr="00577C56">
              <w:trPr>
                <w:trHeight w:val="549"/>
              </w:trPr>
              <w:tc>
                <w:tcPr>
                  <w:tcW w:w="1765" w:type="dxa"/>
                  <w:vAlign w:val="center"/>
                </w:tcPr>
                <w:p w:rsidR="00057C91" w:rsidRPr="00057C91" w:rsidRDefault="00057C91" w:rsidP="00057C91">
                  <w:pPr>
                    <w:spacing w:after="0"/>
                    <w:ind w:right="125"/>
                    <w:jc w:val="center"/>
                    <w:rPr>
                      <w:rFonts w:eastAsia="Calibri" w:cs="Times New Roman"/>
                      <w:b/>
                      <w:i/>
                      <w:lang w:eastAsia="uk-UA"/>
                    </w:rPr>
                  </w:pPr>
                  <w:r w:rsidRPr="00057C91">
                    <w:rPr>
                      <w:rFonts w:eastAsia="Calibri" w:cs="Times New Roman"/>
                      <w:b/>
                      <w:i/>
                      <w:lang w:eastAsia="uk-UA"/>
                    </w:rPr>
                    <w:t>Кваліфікаційний критерій</w:t>
                  </w:r>
                </w:p>
              </w:tc>
              <w:tc>
                <w:tcPr>
                  <w:tcW w:w="5489" w:type="dxa"/>
                  <w:vAlign w:val="center"/>
                </w:tcPr>
                <w:p w:rsidR="00057C91" w:rsidRPr="00057C91" w:rsidRDefault="00057C91" w:rsidP="00057C91">
                  <w:pPr>
                    <w:spacing w:after="0"/>
                    <w:ind w:right="125"/>
                    <w:jc w:val="center"/>
                    <w:rPr>
                      <w:rFonts w:eastAsia="Calibri" w:cs="Times New Roman"/>
                      <w:b/>
                      <w:i/>
                      <w:lang w:eastAsia="uk-UA"/>
                    </w:rPr>
                  </w:pPr>
                  <w:r w:rsidRPr="00057C91">
                    <w:rPr>
                      <w:rFonts w:eastAsia="Calibri" w:cs="Times New Roman"/>
                      <w:b/>
                      <w:i/>
                      <w:lang w:eastAsia="uk-UA"/>
                    </w:rPr>
                    <w:t>Документальне підтвердження</w:t>
                  </w:r>
                </w:p>
              </w:tc>
            </w:tr>
            <w:tr w:rsidR="00057C91" w:rsidRPr="00057C91" w:rsidTr="00577C56">
              <w:trPr>
                <w:trHeight w:val="820"/>
              </w:trPr>
              <w:tc>
                <w:tcPr>
                  <w:tcW w:w="1765" w:type="dxa"/>
                  <w:vAlign w:val="center"/>
                </w:tcPr>
                <w:p w:rsidR="00057C91" w:rsidRPr="00057C91" w:rsidRDefault="00057C91" w:rsidP="00057C91">
                  <w:pPr>
                    <w:spacing w:after="160" w:line="259" w:lineRule="auto"/>
                    <w:ind w:right="127"/>
                    <w:jc w:val="center"/>
                    <w:rPr>
                      <w:rFonts w:eastAsia="Calibri" w:cs="Times New Roman"/>
                      <w:i/>
                    </w:rPr>
                  </w:pPr>
                  <w:r w:rsidRPr="00057C91">
                    <w:rPr>
                      <w:rFonts w:eastAsia="Calibri" w:cs="Times New Roman"/>
                      <w:i/>
                    </w:rPr>
                    <w:t>Наявність документально підтвердженого досвіду виконання аналогічного (аналогічних) за предметом закупівлі договору (договорів)</w:t>
                  </w:r>
                </w:p>
              </w:tc>
              <w:tc>
                <w:tcPr>
                  <w:tcW w:w="5489" w:type="dxa"/>
                  <w:vAlign w:val="center"/>
                </w:tcPr>
                <w:p w:rsidR="00057C91" w:rsidRPr="00057C91" w:rsidRDefault="00057C91" w:rsidP="00057C91">
                  <w:pPr>
                    <w:widowControl w:val="0"/>
                    <w:suppressAutoHyphens/>
                    <w:autoSpaceDN w:val="0"/>
                    <w:spacing w:after="0"/>
                    <w:ind w:left="34" w:right="-1" w:hanging="34"/>
                    <w:jc w:val="both"/>
                    <w:textAlignment w:val="baseline"/>
                    <w:rPr>
                      <w:rFonts w:eastAsia="Times New Roman" w:cs="Times New Roman"/>
                      <w:b/>
                      <w:bCs/>
                      <w:color w:val="000000"/>
                      <w:kern w:val="3"/>
                      <w:lang w:eastAsia="zh-CN" w:bidi="hi-IN"/>
                    </w:rPr>
                  </w:pP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Учасники надають </w:t>
                  </w:r>
                  <w:r w:rsidRPr="00057C91">
                    <w:rPr>
                      <w:rFonts w:eastAsia="Calibri" w:cs="Times New Roman"/>
                      <w:lang w:eastAsia="ru-RU"/>
                    </w:rPr>
                    <w:t>скановану з оригіналу/оригіналів та/або його/їхніх копію/копій</w:t>
                  </w:r>
                  <w:r w:rsidRPr="00057C91">
                    <w:rPr>
                      <w:rFonts w:eastAsia="Calibri" w:cs="Times New Roman"/>
                      <w:bCs/>
                      <w:color w:val="000000"/>
                      <w:lang w:eastAsia="zh-CN"/>
                    </w:rPr>
                    <w:t xml:space="preserve"> (завірені підписом та печаткою (у разінаявності)) 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договору/договорів на поставку товару за аналогічним показником цифри основного словника національного класифікатора України </w:t>
                  </w:r>
                  <w:r w:rsidRPr="00057C91">
                    <w:rPr>
                      <w:rFonts w:eastAsia="Calibri" w:cs="Times New Roman"/>
                      <w:b/>
                      <w:lang w:eastAsia="uk-UA"/>
                    </w:rPr>
                    <w:t>(</w:t>
                  </w:r>
                  <w:r w:rsidRPr="00057C91">
                    <w:rPr>
                      <w:rFonts w:eastAsia="Calibri" w:cs="Times New Roman"/>
                      <w:b/>
                    </w:rPr>
                    <w:t>ДК 021:2015 код 09310000-5 – Електрична енергія</w:t>
                  </w:r>
                  <w:r w:rsidRPr="00057C91">
                    <w:rPr>
                      <w:rFonts w:eastAsia="Calibri" w:cs="Times New Roman"/>
                      <w:b/>
                      <w:lang w:eastAsia="uk-UA"/>
                    </w:rPr>
                    <w:t xml:space="preserve">) 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>та підтверджуючі документи про його(їх) виконання (</w:t>
                  </w:r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позитивний відгук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 на офіційному бланку від замовника щодо виконання даного договору </w:t>
                  </w:r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або накладної(</w:t>
                  </w:r>
                  <w:proofErr w:type="spellStart"/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их</w:t>
                  </w:r>
                  <w:proofErr w:type="spellEnd"/>
                  <w:r w:rsidRPr="00057C91">
                    <w:rPr>
                      <w:rFonts w:eastAsia="Calibri" w:cs="Times New Roman"/>
                      <w:i/>
                      <w:lang w:eastAsia="uk-UA"/>
                    </w:rPr>
                    <w:t>)</w:t>
                  </w:r>
                  <w:r w:rsidRPr="00057C91">
                    <w:rPr>
                      <w:rFonts w:eastAsia="Calibri" w:cs="Times New Roman"/>
                      <w:lang w:eastAsia="uk-UA"/>
                    </w:rPr>
                    <w:t xml:space="preserve"> про поставку товару).</w:t>
                  </w:r>
                </w:p>
              </w:tc>
            </w:tr>
          </w:tbl>
          <w:p w:rsidR="000A63C0" w:rsidRPr="004F04C8" w:rsidRDefault="000A63C0" w:rsidP="00057C91">
            <w:pPr>
              <w:spacing w:after="160" w:line="259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63C0" w:rsidRPr="004F04C8" w:rsidTr="0041461F">
        <w:trPr>
          <w:trHeight w:val="407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0" w:rsidRPr="004F04C8" w:rsidRDefault="000A63C0" w:rsidP="009D6AE4">
            <w:pPr>
              <w:spacing w:after="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F04C8">
              <w:rPr>
                <w:rFonts w:cs="Times New Roman"/>
                <w:b/>
                <w:bCs/>
                <w:sz w:val="24"/>
                <w:szCs w:val="24"/>
              </w:rPr>
              <w:t xml:space="preserve">Положення </w:t>
            </w:r>
            <w:r w:rsidR="0075585D" w:rsidRPr="004F04C8">
              <w:rPr>
                <w:rFonts w:cs="Times New Roman"/>
                <w:b/>
                <w:bCs/>
                <w:sz w:val="24"/>
                <w:szCs w:val="24"/>
              </w:rPr>
              <w:t>частини 1 розділу V. Оцінка тендерної пропозиції</w:t>
            </w:r>
          </w:p>
        </w:tc>
      </w:tr>
      <w:tr w:rsidR="004919CB" w:rsidRPr="004F04C8" w:rsidTr="00577C56">
        <w:trPr>
          <w:trHeight w:val="9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75585D" w:rsidRDefault="0075585D" w:rsidP="0075585D">
            <w:pPr>
              <w:spacing w:after="0"/>
              <w:ind w:right="93"/>
              <w:jc w:val="both"/>
              <w:rPr>
                <w:rFonts w:eastAsia="Times New Roman" w:cs="Times New Roman"/>
                <w:lang w:eastAsia="ru-RU"/>
              </w:rPr>
            </w:pPr>
            <w:r w:rsidRPr="0075585D">
              <w:rPr>
                <w:rFonts w:eastAsia="Times New Roman" w:cs="Times New Roman"/>
                <w:lang w:eastAsia="ru-RU"/>
              </w:rPr>
              <w:t>Єдиний критерій оцінки – Ціна – 100%.</w:t>
            </w:r>
          </w:p>
          <w:p w:rsidR="004919CB" w:rsidRPr="004F04C8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strike/>
                <w:sz w:val="24"/>
                <w:szCs w:val="24"/>
                <w:lang w:eastAsia="uk-UA"/>
              </w:rPr>
            </w:pPr>
            <w:r w:rsidRPr="004F04C8">
              <w:rPr>
                <w:rFonts w:eastAsia="Times New Roman" w:cs="Times New Roman"/>
                <w:lang w:eastAsia="ru-RU"/>
              </w:rPr>
              <w:t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тендерної пропозиції зазначається без ПДВ.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75585D" w:rsidRDefault="0075585D" w:rsidP="0075585D">
            <w:pPr>
              <w:spacing w:after="0"/>
              <w:ind w:right="93"/>
              <w:jc w:val="both"/>
              <w:rPr>
                <w:rFonts w:eastAsia="Times New Roman" w:cs="Times New Roman"/>
                <w:lang w:eastAsia="ru-RU"/>
              </w:rPr>
            </w:pPr>
            <w:r w:rsidRPr="0075585D">
              <w:rPr>
                <w:rFonts w:eastAsia="Times New Roman" w:cs="Times New Roman"/>
                <w:lang w:eastAsia="ru-RU"/>
              </w:rPr>
              <w:t>Єдиний критерій оцінки – Ціна – 100%.</w:t>
            </w:r>
          </w:p>
          <w:p w:rsidR="009A5635" w:rsidRPr="004F04C8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lang w:eastAsia="ru-RU"/>
              </w:rPr>
            </w:pPr>
            <w:r w:rsidRPr="004F04C8">
              <w:rPr>
                <w:rFonts w:eastAsia="Times New Roman" w:cs="Times New Roman"/>
                <w:lang w:eastAsia="ru-RU"/>
              </w:rPr>
              <w:t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тендерної пропозиції зазначається без ПДВ.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З метою недопущення укладання договору за ціною, що не є ринковою, 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lastRenderedPageBreak/>
              <w:t>що в свою чергу може призвести до зриву постачання електричної енергії в інтересах Замовника загальна ціна (вартість тендерної пропозиції) розраховується та вноситься УЧАСНИКОМ на електронний майданчик наступним чином:</w:t>
            </w:r>
          </w:p>
          <w:p w:rsidR="0075585D" w:rsidRPr="00B3026A" w:rsidRDefault="0075585D" w:rsidP="0075585D">
            <w:pPr>
              <w:spacing w:after="0"/>
              <w:ind w:firstLine="426"/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Р = ∑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Ni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план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* (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Ц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прогн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 xml:space="preserve">. 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+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Т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пер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+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) * 1,2, грн з ПДВ де,</w:t>
            </w:r>
          </w:p>
          <w:p w:rsidR="0075585D" w:rsidRPr="00B3026A" w:rsidRDefault="0075585D" w:rsidP="0075585D">
            <w:pPr>
              <w:spacing w:after="0"/>
              <w:ind w:firstLine="426"/>
              <w:jc w:val="center"/>
              <w:rPr>
                <w:rFonts w:eastAsia="Times New Roman" w:cs="Times New Roman"/>
                <w:color w:val="000000"/>
                <w:lang w:eastAsia="uk-UA"/>
              </w:rPr>
            </w:pP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Р – загальна сума (вартість, ціна) тендерної пропозиції у гривні (UAH) з ПДВ,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Ni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план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– плановий обсяг закупівлі електричної енергії для (об’єкта) об’єктів Споживача кВт*год. (згідно з додатком 3 до тендерної документації).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lang w:eastAsia="uk-UA"/>
              </w:rPr>
              <w:t>Ц</w:t>
            </w:r>
            <w:r w:rsidRPr="00B3026A">
              <w:rPr>
                <w:rFonts w:eastAsia="Times New Roman" w:cs="Times New Roman"/>
                <w:vertAlign w:val="subscript"/>
                <w:lang w:eastAsia="uk-UA"/>
              </w:rPr>
              <w:t>прогн.</w:t>
            </w:r>
            <w:r w:rsidRPr="00B3026A">
              <w:rPr>
                <w:rFonts w:eastAsia="Times New Roman" w:cs="Times New Roman"/>
                <w:lang w:eastAsia="uk-UA"/>
              </w:rPr>
              <w:t>–</w:t>
            </w:r>
            <w:proofErr w:type="spellEnd"/>
            <w:r w:rsidRPr="00B3026A">
              <w:rPr>
                <w:rFonts w:eastAsia="Times New Roman" w:cs="Times New Roman"/>
                <w:lang w:eastAsia="uk-UA"/>
              </w:rPr>
              <w:t xml:space="preserve"> прогнозована ціна електричної енергії для даної закупівлі</w:t>
            </w:r>
            <w:r w:rsidRPr="00B3026A">
              <w:rPr>
                <w:rFonts w:eastAsia="Times New Roman" w:cs="Times New Roman"/>
                <w:vertAlign w:val="superscript"/>
                <w:lang w:eastAsia="uk-UA"/>
              </w:rPr>
              <w:t>1</w:t>
            </w:r>
            <w:r w:rsidRPr="00B3026A">
              <w:rPr>
                <w:rFonts w:eastAsia="Times New Roman" w:cs="Times New Roman"/>
                <w:lang w:eastAsia="uk-UA"/>
              </w:rPr>
              <w:t xml:space="preserve">, грн за 1 кВт*год без ПДВ, яка визначається як середньозважена ціна електричної енергії на ринку «на добу наперед» у торговій зоні "ОЕС України" за період з </w:t>
            </w:r>
            <w:r w:rsidR="00A71F48" w:rsidRPr="00A71F48">
              <w:rPr>
                <w:rFonts w:eastAsia="Times New Roman" w:cs="Times New Roman"/>
                <w:lang w:eastAsia="uk-UA"/>
              </w:rPr>
              <w:t xml:space="preserve">другого грудня </w:t>
            </w:r>
            <w:r w:rsidRPr="00B3026A">
              <w:rPr>
                <w:rFonts w:eastAsia="Times New Roman" w:cs="Times New Roman"/>
                <w:lang w:eastAsia="uk-UA"/>
              </w:rPr>
              <w:t xml:space="preserve">2023 року включно по </w:t>
            </w:r>
            <w:r w:rsidR="00A71F48" w:rsidRPr="00A71F48">
              <w:rPr>
                <w:rFonts w:eastAsia="Times New Roman" w:cs="Times New Roman"/>
                <w:lang w:eastAsia="uk-UA"/>
              </w:rPr>
              <w:t xml:space="preserve">п’ятнадцяте </w:t>
            </w:r>
            <w:r w:rsidRPr="00B3026A">
              <w:rPr>
                <w:rFonts w:eastAsia="Times New Roman" w:cs="Times New Roman"/>
                <w:lang w:eastAsia="uk-UA"/>
              </w:rPr>
              <w:t xml:space="preserve">грудня 2023 року включно за даними АТ «Оператор ринку», розміщеними на його веб-сайті https://www.oree.com.ua, з обов’язковим врахуванням індикатора діапазону можливого коливання ціни електричної енергії в сторону збільшення, а саме: </w:t>
            </w:r>
            <w:r w:rsidR="00A71F48" w:rsidRPr="00A71F48">
              <w:rPr>
                <w:rFonts w:eastAsia="Times New Roman" w:cs="Times New Roman"/>
                <w:lang w:eastAsia="uk-UA"/>
              </w:rPr>
              <w:t xml:space="preserve">вісім відсотків </w:t>
            </w:r>
            <w:r w:rsidRPr="00B3026A">
              <w:rPr>
                <w:rFonts w:eastAsia="Times New Roman" w:cs="Times New Roman"/>
                <w:lang w:eastAsia="uk-UA"/>
              </w:rPr>
              <w:t xml:space="preserve">(замовник встановлює величину цього індикатора однакову для всіх учасників). 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Примітка</w:t>
            </w:r>
            <w:r w:rsidRPr="00B3026A">
              <w:rPr>
                <w:rFonts w:eastAsia="Times New Roman" w:cs="Times New Roman"/>
                <w:color w:val="000000"/>
                <w:vertAlign w:val="superscript"/>
                <w:lang w:eastAsia="uk-UA"/>
              </w:rPr>
              <w:t>1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: З метою спрощення розрахунків учасник та замовник в обов’язковому порядку заокруглюють з урахуванням правил арифметики значення прогнозованої ціни для даної закупівлі (</w:t>
            </w:r>
            <w:proofErr w:type="spellStart"/>
            <w:r w:rsidRPr="00B3026A">
              <w:rPr>
                <w:rFonts w:eastAsia="Times New Roman" w:cs="Times New Roman"/>
                <w:lang w:eastAsia="uk-UA"/>
              </w:rPr>
              <w:t>Ц</w:t>
            </w:r>
            <w:r w:rsidRPr="00B3026A">
              <w:rPr>
                <w:rFonts w:eastAsia="Times New Roman" w:cs="Times New Roman"/>
                <w:vertAlign w:val="subscript"/>
                <w:lang w:eastAsia="uk-UA"/>
              </w:rPr>
              <w:t>прогн</w:t>
            </w:r>
            <w:proofErr w:type="spellEnd"/>
            <w:r w:rsidRPr="00B3026A">
              <w:rPr>
                <w:rFonts w:eastAsia="Times New Roman" w:cs="Times New Roman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) до п’яти знаків після коми</w:t>
            </w:r>
            <w:r w:rsidRPr="00B3026A">
              <w:rPr>
                <w:rFonts w:eastAsia="Times New Roman" w:cs="Times New Roman"/>
                <w:lang w:eastAsia="uk-UA"/>
              </w:rPr>
              <w:t>;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Т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пер</w:t>
            </w:r>
            <w:proofErr w:type="spellEnd"/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- </w:t>
            </w:r>
            <w:r w:rsidRPr="00B3026A">
              <w:rPr>
                <w:rFonts w:eastAsia="Times New Roman" w:cs="Times New Roman"/>
                <w:lang w:eastAsia="uk-UA"/>
              </w:rPr>
              <w:t>затверджений Постановою НКРЕКП від 21.12.2022 №1788 тариф на послуги передачі електричної енергії НЕК «Укренерго» (оператор системи передачі – ОСП) в розмірі 0,48510 грн.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за 1 кВт*год без ПДВ;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 xml:space="preserve">. 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– вартість послуг постачальника, запропонована учасником</w:t>
            </w:r>
            <w:r w:rsidRPr="00B3026A">
              <w:rPr>
                <w:rFonts w:eastAsia="Times New Roman" w:cs="Times New Roman"/>
                <w:color w:val="000000"/>
                <w:vertAlign w:val="superscript"/>
                <w:lang w:eastAsia="uk-UA"/>
              </w:rPr>
              <w:t>2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, грн. за 1 кВт*год. без ПДВ;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1,2 – математичне вираження ставки податку на додану вартість (ПДВ-20 %).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Примітка</w:t>
            </w:r>
            <w:r w:rsidRPr="00B3026A">
              <w:rPr>
                <w:rFonts w:eastAsia="Times New Roman" w:cs="Times New Roman"/>
                <w:color w:val="000000"/>
                <w:vertAlign w:val="superscript"/>
                <w:lang w:eastAsia="uk-UA"/>
              </w:rPr>
              <w:t>2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: Вартість послуг постачальника (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) не може бути величиною від’ємною, в тому числі за результатами аукціону. Замовник відповідно до п.44 Особливостей буде відхиляти пропозиції Учасників, в яких величина 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 xml:space="preserve"> буде від’ємна.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Учасник надає гарантійний лист про те, що вартість послуг постачальника (</w:t>
            </w:r>
            <w:proofErr w:type="spellStart"/>
            <w:r w:rsidRPr="00B3026A">
              <w:rPr>
                <w:rFonts w:eastAsia="Times New Roman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Times New Roman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Times New Roman" w:cs="Times New Roman"/>
                <w:color w:val="000000"/>
                <w:lang w:eastAsia="uk-UA"/>
              </w:rPr>
              <w:t>), у тому числі за результатами аукціону, не буде величиною від’ємною.</w:t>
            </w:r>
          </w:p>
          <w:p w:rsidR="0075585D" w:rsidRPr="00B3026A" w:rsidRDefault="0075585D" w:rsidP="0075585D">
            <w:pPr>
              <w:spacing w:after="0"/>
              <w:ind w:firstLine="426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B3026A">
              <w:rPr>
                <w:rFonts w:eastAsia="Times New Roman" w:cs="Times New Roman"/>
                <w:color w:val="000000"/>
                <w:lang w:eastAsia="uk-UA"/>
              </w:rPr>
              <w:t>Під час проведення аукціону учасник понижує ціну тільки за рахунок зменшення вартості послуг постачальника.</w:t>
            </w:r>
          </w:p>
          <w:p w:rsidR="0075585D" w:rsidRPr="00B3026A" w:rsidRDefault="0075585D" w:rsidP="0075585D">
            <w:pPr>
              <w:widowControl w:val="0"/>
              <w:spacing w:after="160" w:line="259" w:lineRule="auto"/>
              <w:ind w:firstLine="426"/>
              <w:jc w:val="both"/>
              <w:rPr>
                <w:rFonts w:eastAsia="Calibri" w:cs="Times New Roman"/>
                <w:lang w:eastAsia="uk-UA"/>
              </w:rPr>
            </w:pPr>
            <w:r w:rsidRPr="00B3026A">
              <w:rPr>
                <w:rFonts w:eastAsia="Calibri" w:cs="Times New Roman"/>
                <w:color w:val="000000"/>
                <w:lang w:eastAsia="uk-UA"/>
              </w:rPr>
              <w:lastRenderedPageBreak/>
              <w:t xml:space="preserve">Замовник та учасник при визначенні запропонованої учасником вартості послуг постачальника в обов’язковому порядку дотримуються умови щодо розрахунку показника </w:t>
            </w:r>
            <w:proofErr w:type="spellStart"/>
            <w:r w:rsidRPr="00B3026A">
              <w:rPr>
                <w:rFonts w:eastAsia="Calibri" w:cs="Times New Roman"/>
                <w:lang w:eastAsia="uk-UA"/>
              </w:rPr>
              <w:t>Ц</w:t>
            </w:r>
            <w:r w:rsidRPr="00B3026A">
              <w:rPr>
                <w:rFonts w:eastAsia="Calibri" w:cs="Times New Roman"/>
                <w:vertAlign w:val="subscript"/>
                <w:lang w:eastAsia="uk-UA"/>
              </w:rPr>
              <w:t>прогн</w:t>
            </w:r>
            <w:proofErr w:type="spellEnd"/>
            <w:r w:rsidRPr="00B3026A">
              <w:rPr>
                <w:rFonts w:eastAsia="Calibri" w:cs="Times New Roman"/>
                <w:vertAlign w:val="subscript"/>
                <w:lang w:eastAsia="uk-UA"/>
              </w:rPr>
              <w:t>.</w:t>
            </w:r>
            <w:r w:rsidRPr="00B3026A">
              <w:rPr>
                <w:rFonts w:eastAsia="Calibri" w:cs="Times New Roman"/>
                <w:lang w:eastAsia="uk-UA"/>
              </w:rPr>
              <w:t>, зокрема, і</w:t>
            </w:r>
            <w:r w:rsidRPr="00B3026A">
              <w:rPr>
                <w:rFonts w:eastAsia="Calibri" w:cs="Times New Roman"/>
                <w:color w:val="000000"/>
                <w:lang w:eastAsia="uk-UA"/>
              </w:rPr>
              <w:t xml:space="preserve"> в частині його заокруглення до відповідної кількості знаків.</w:t>
            </w:r>
          </w:p>
          <w:p w:rsidR="0075585D" w:rsidRPr="00B3026A" w:rsidRDefault="0075585D" w:rsidP="0075585D">
            <w:pPr>
              <w:widowControl w:val="0"/>
              <w:spacing w:after="160" w:line="259" w:lineRule="auto"/>
              <w:ind w:firstLine="426"/>
              <w:jc w:val="both"/>
              <w:rPr>
                <w:rFonts w:eastAsia="Calibri" w:cs="Times New Roman"/>
                <w:lang w:eastAsia="uk-UA"/>
              </w:rPr>
            </w:pPr>
            <w:r w:rsidRPr="00B3026A">
              <w:rPr>
                <w:rFonts w:eastAsia="Calibri" w:cs="Times New Roman"/>
                <w:lang w:eastAsia="uk-UA"/>
              </w:rPr>
              <w:t xml:space="preserve">Замовник визначає </w:t>
            </w:r>
            <w:r w:rsidRPr="00B3026A">
              <w:rPr>
                <w:rFonts w:eastAsia="Calibri" w:cs="Times New Roman"/>
                <w:color w:val="000000"/>
                <w:lang w:eastAsia="uk-UA"/>
              </w:rPr>
              <w:t>вартість послуг постачальника</w:t>
            </w:r>
            <w:r w:rsidRPr="00B3026A">
              <w:rPr>
                <w:rFonts w:eastAsia="Calibri" w:cs="Times New Roman"/>
                <w:lang w:eastAsia="uk-UA"/>
              </w:rPr>
              <w:t xml:space="preserve"> (</w:t>
            </w:r>
            <w:proofErr w:type="spellStart"/>
            <w:r w:rsidRPr="00B3026A">
              <w:rPr>
                <w:rFonts w:eastAsia="Calibri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.)</w:t>
            </w:r>
            <w:r w:rsidRPr="00B3026A">
              <w:rPr>
                <w:rFonts w:eastAsia="Calibri" w:cs="Times New Roman"/>
                <w:lang w:eastAsia="uk-UA"/>
              </w:rPr>
              <w:t>, запропоновану учасником, за формулою:</w:t>
            </w:r>
          </w:p>
          <w:p w:rsidR="0075585D" w:rsidRPr="00B3026A" w:rsidRDefault="0075585D" w:rsidP="0075585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lang w:eastAsia="uk-UA"/>
              </w:rPr>
            </w:pPr>
            <w:r w:rsidRPr="00B3026A">
              <w:rPr>
                <w:rFonts w:eastAsia="Calibri" w:cs="Times New Roman"/>
                <w:noProof/>
                <w:lang w:val="ru-RU" w:eastAsia="ru-RU"/>
              </w:rPr>
              <w:drawing>
                <wp:inline distT="0" distB="0" distL="0" distR="0">
                  <wp:extent cx="3410426" cy="543001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426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85D" w:rsidRPr="004F04C8" w:rsidRDefault="0075585D" w:rsidP="00A71F48">
            <w:pPr>
              <w:spacing w:after="0"/>
              <w:ind w:firstLine="426"/>
              <w:jc w:val="both"/>
              <w:rPr>
                <w:rFonts w:eastAsia="Times New Roman" w:cs="Times New Roman"/>
                <w:lang w:eastAsia="uk-UA"/>
              </w:rPr>
            </w:pPr>
            <w:r w:rsidRPr="00B3026A">
              <w:rPr>
                <w:rFonts w:eastAsia="Calibri" w:cs="Times New Roman"/>
                <w:color w:val="000000"/>
                <w:lang w:eastAsia="uk-UA"/>
              </w:rPr>
              <w:t>У разі, якщо вартість послуг постачальника (</w:t>
            </w:r>
            <w:proofErr w:type="spellStart"/>
            <w:r w:rsidRPr="00B3026A">
              <w:rPr>
                <w:rFonts w:eastAsia="Calibri" w:cs="Times New Roman"/>
                <w:color w:val="000000"/>
                <w:lang w:eastAsia="uk-UA"/>
              </w:rPr>
              <w:t>В</w:t>
            </w:r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посл</w:t>
            </w:r>
            <w:proofErr w:type="spellEnd"/>
            <w:r w:rsidRPr="00B3026A">
              <w:rPr>
                <w:rFonts w:eastAsia="Calibri" w:cs="Times New Roman"/>
                <w:color w:val="000000"/>
                <w:vertAlign w:val="subscript"/>
                <w:lang w:eastAsia="uk-UA"/>
              </w:rPr>
              <w:t>.</w:t>
            </w:r>
            <w:r w:rsidRPr="00B3026A">
              <w:rPr>
                <w:rFonts w:eastAsia="Calibri" w:cs="Times New Roman"/>
                <w:color w:val="000000"/>
                <w:lang w:eastAsia="uk-UA"/>
              </w:rPr>
              <w:t>) в тому числі і за результатами аукціону буде від’ємною, це буде вважатися відмовою від підписання договору про закупівлю.</w:t>
            </w:r>
          </w:p>
        </w:tc>
      </w:tr>
      <w:tr w:rsidR="005E1BCF" w:rsidRPr="004F04C8" w:rsidTr="005E1BCF">
        <w:trPr>
          <w:trHeight w:val="375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CF" w:rsidRPr="004F04C8" w:rsidRDefault="000D7515" w:rsidP="000D7515">
            <w:pPr>
              <w:spacing w:after="0"/>
              <w:ind w:firstLine="426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Додаток </w:t>
            </w:r>
            <w:r w:rsidR="00057C91"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до тендерної документації (проект договору) викласти у новій редакції. </w:t>
            </w:r>
          </w:p>
        </w:tc>
      </w:tr>
      <w:tr w:rsidR="0075585D" w:rsidRPr="004F04C8" w:rsidTr="005E1BCF">
        <w:trPr>
          <w:trHeight w:val="375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4F04C8" w:rsidRDefault="0075585D" w:rsidP="000D7515">
            <w:pPr>
              <w:spacing w:after="0"/>
              <w:ind w:firstLine="426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0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Додаток 5 до тендерної документації </w:t>
            </w:r>
          </w:p>
        </w:tc>
      </w:tr>
      <w:tr w:rsidR="0075585D" w:rsidRPr="004F04C8" w:rsidTr="00577C56">
        <w:trPr>
          <w:trHeight w:val="37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75585D" w:rsidRDefault="0075585D" w:rsidP="0075585D">
            <w:pPr>
              <w:widowControl w:val="0"/>
              <w:suppressAutoHyphens/>
              <w:autoSpaceDE w:val="0"/>
              <w:spacing w:after="0"/>
              <w:ind w:left="6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5585D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9.</w:t>
            </w:r>
            <w:r w:rsidRPr="0075585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Постачання електричної енергії повинно здійснюватись у відповідності до вимог «Правил роздрібного ринку електричної енергії, затверджених Постановою НКРЕКП від 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      </w:r>
            <w:r w:rsidRPr="0075585D"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  <w:t>затверджених Постановою НКРЕКП від 14.03.2018  № 307 (у редакції постанови НКРЕКП від 24.06.2019 № 1168).</w:t>
            </w:r>
          </w:p>
          <w:p w:rsidR="0075585D" w:rsidRPr="004F04C8" w:rsidRDefault="0075585D" w:rsidP="004F04C8">
            <w:pPr>
              <w:widowControl w:val="0"/>
              <w:suppressAutoHyphens/>
              <w:autoSpaceDE w:val="0"/>
              <w:spacing w:after="0"/>
              <w:ind w:left="67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5585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Під час постачання електричної енергії учасник повинен забезпечити реалізацію права замовника </w:t>
            </w:r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електропостачальником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та споживачем, у відповідності до вимог п. 8.3.17 та п.8.3.6. «Правил роздрібного ринку електричної енергії».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D" w:rsidRPr="0075585D" w:rsidRDefault="0075585D" w:rsidP="00577C5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5585D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9.</w:t>
            </w:r>
            <w:r w:rsidRPr="0075585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Постачання електричної енергії повинно здійснюватись у відповідності до вимог «Правил роздрібного ринку електричної енергії, затверджених Постановою НКРЕКП від 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      </w:r>
            <w:r w:rsidRPr="0075585D">
              <w:rPr>
                <w:rFonts w:ascii="Times New Roman CYR" w:eastAsia="Times New Roman" w:hAnsi="Times New Roman CYR" w:cs="Times New Roman CYR"/>
                <w:bCs/>
                <w:color w:val="000000"/>
                <w:lang w:eastAsia="ru-RU"/>
              </w:rPr>
              <w:t>затверджених Постановою НКРЕКП від 14.03.2018  № 307 (у редакції постанови НКРЕКП від 24.06.2019 № 1168).</w:t>
            </w:r>
          </w:p>
          <w:p w:rsidR="0075585D" w:rsidRPr="0075585D" w:rsidRDefault="0075585D" w:rsidP="00577C5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5585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Під час постачання електричної енергії учасник повинен забезпечити реалізацію права замовника </w:t>
            </w:r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електропостачальником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та споживачем, у відповідності до вимог п. 8.3.17 та п.8.3.6. «Правил роздрібного ринку електричної енергії».</w:t>
            </w:r>
          </w:p>
          <w:p w:rsidR="0075585D" w:rsidRPr="004F04C8" w:rsidRDefault="0075585D" w:rsidP="00577C5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bookmarkStart w:id="0" w:name="_Hlk153530069"/>
            <w:r w:rsidRPr="004F04C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10.</w:t>
            </w:r>
            <w:r w:rsidRPr="004F04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Гарантійний лист щодо відсутності письмових зауважень та/або претензій та/або позовів з боку замовників торгів по виконанню аналогічного(</w:t>
            </w:r>
            <w:proofErr w:type="spellStart"/>
            <w:r w:rsidRPr="004F04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-их</w:t>
            </w:r>
            <w:proofErr w:type="spellEnd"/>
            <w:r w:rsidRPr="004F04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 договору(</w:t>
            </w:r>
            <w:proofErr w:type="spellStart"/>
            <w:r w:rsidRPr="004F04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-ів</w:t>
            </w:r>
            <w:proofErr w:type="spellEnd"/>
            <w:r w:rsidRPr="004F04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), які виконуються/вались Учасником на момент участі у цих торгах.</w:t>
            </w:r>
          </w:p>
          <w:p w:rsidR="0075585D" w:rsidRPr="004F04C8" w:rsidRDefault="0075585D" w:rsidP="00577C56">
            <w:pPr>
              <w:widowControl w:val="0"/>
              <w:suppressAutoHyphens/>
              <w:autoSpaceDE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04C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11.</w:t>
            </w:r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Згідно з умовами укладеного договору про постачання електричної енергії, Замовник (Споживач) має право змінити постачальника шляхом укладання нового договору з новим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електропостачальником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, повідомивши про це не менше ніж за 21 день до такої зміни з зазначенням дати та строків. </w:t>
            </w:r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Відповідно до п. 3.1.6 глави 3 Розділу ІІІ Правил роздрібного ринку електричної енергії, затверджених постановою НКРЕКП від 14.03.2018 року № 312 (далі-ПРРЕЕ) постачання електричної енергії споживачу здійснюється, зокрема, якщо відсутня прострочена заборгованість за договорами про постачання електричної енергії або про надання послуг системи розподілу/передачі. Відповідно ж до пункту 6.1.13. та підпункту 3 пункту 6.1.14 ПРРЕЕ: 6.1.13. У разі відсутності можливості зміни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адміністратор комерційного обліку повідомляє про це нового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із зазначенням причини відмови у забезпеченні зміни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, що є підставою для зупинки (анулювання) процедури зміни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6.1.14. Адміністратор комерційного обліку може відмовити у забезпеченні зміни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у таких випадках: 3) припинення електроживлення об'єкта (об'єктів) споживача за зверненням чинного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або наявності на дату ініціювання споживачем процедури зміни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такого звернення, надісланого в установленому порядку. На підставі вищевикладеного задля безперешкодного здійснення процедури зміни </w:t>
            </w:r>
            <w:proofErr w:type="spellStart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електропостачальника</w:t>
            </w:r>
            <w:proofErr w:type="spellEnd"/>
            <w:r w:rsidRPr="0075585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за ініціативою споживача, та оскільки припинення електропостачання об‘єктів ставить під загрозу роботу Замовника, Учасник повинен надати лист-підтвердження/гарантійний лист від діючого Постачальника, з яким на даний час укладено договір на постачання електричної енергії, про не відключення об‘єктів Замовника від електропостачання у разі наявності заборгованості перед ним за електричну енергію у разі переходу до іншого Постачальника. Даний документ має бути виданий не раніше дати оголошення даної закупівлі, адресований Учаснику.</w:t>
            </w:r>
            <w:bookmarkEnd w:id="0"/>
          </w:p>
        </w:tc>
      </w:tr>
    </w:tbl>
    <w:p w:rsidR="00EF4FBF" w:rsidRPr="004F04C8" w:rsidRDefault="00EF4FBF" w:rsidP="004F04C8">
      <w:pPr>
        <w:tabs>
          <w:tab w:val="left" w:pos="1440"/>
        </w:tabs>
        <w:spacing w:after="0"/>
        <w:rPr>
          <w:sz w:val="24"/>
          <w:szCs w:val="24"/>
        </w:rPr>
      </w:pPr>
    </w:p>
    <w:sectPr w:rsidR="00EF4FBF" w:rsidRPr="004F04C8" w:rsidSect="00577C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7C0"/>
    <w:multiLevelType w:val="multilevel"/>
    <w:tmpl w:val="07E07E4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CB0E2B"/>
    <w:multiLevelType w:val="multilevel"/>
    <w:tmpl w:val="676C1F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256A48"/>
    <w:multiLevelType w:val="multilevel"/>
    <w:tmpl w:val="4C527746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2580" w:hanging="420"/>
      </w:pPr>
      <w:rPr>
        <w:rFonts w:ascii="Times New Roman" w:eastAsia="Times New Roman" w:hAnsi="Times New Roman"/>
      </w:rPr>
    </w:lvl>
    <w:lvl w:ilvl="2">
      <w:start w:val="1"/>
      <w:numFmt w:val="bullet"/>
      <w:lvlText w:val="●"/>
      <w:lvlJc w:val="left"/>
      <w:pPr>
        <w:ind w:left="3420" w:hanging="360"/>
      </w:pPr>
      <w:rPr>
        <w:rFonts w:ascii="Noto Sans Symbols" w:eastAsia="Times New Roman" w:hAnsi="Noto Sans Symbols"/>
        <w:sz w:val="24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B49791D"/>
    <w:multiLevelType w:val="multilevel"/>
    <w:tmpl w:val="281C27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037151F"/>
    <w:multiLevelType w:val="multilevel"/>
    <w:tmpl w:val="D1B81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959033E"/>
    <w:multiLevelType w:val="hybridMultilevel"/>
    <w:tmpl w:val="EA10FC10"/>
    <w:lvl w:ilvl="0" w:tplc="BDDE9CB0">
      <w:start w:val="1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3B4B6DF6"/>
    <w:multiLevelType w:val="multilevel"/>
    <w:tmpl w:val="85440DE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458F4094"/>
    <w:multiLevelType w:val="multilevel"/>
    <w:tmpl w:val="5E6CC178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8">
    <w:nsid w:val="77D46499"/>
    <w:multiLevelType w:val="multilevel"/>
    <w:tmpl w:val="170A20A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78A52677"/>
    <w:multiLevelType w:val="multilevel"/>
    <w:tmpl w:val="2E747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E98"/>
    <w:rsid w:val="00057C91"/>
    <w:rsid w:val="000A63C0"/>
    <w:rsid w:val="000C5782"/>
    <w:rsid w:val="000D7515"/>
    <w:rsid w:val="00130114"/>
    <w:rsid w:val="001A42B9"/>
    <w:rsid w:val="001D3762"/>
    <w:rsid w:val="001F7AA7"/>
    <w:rsid w:val="002056DD"/>
    <w:rsid w:val="00353FD4"/>
    <w:rsid w:val="003A0AE5"/>
    <w:rsid w:val="0041461F"/>
    <w:rsid w:val="00472007"/>
    <w:rsid w:val="00491502"/>
    <w:rsid w:val="004919CB"/>
    <w:rsid w:val="00491AF5"/>
    <w:rsid w:val="004A54A6"/>
    <w:rsid w:val="004C3552"/>
    <w:rsid w:val="004F04C8"/>
    <w:rsid w:val="005224BF"/>
    <w:rsid w:val="00554E98"/>
    <w:rsid w:val="00577C56"/>
    <w:rsid w:val="005B2628"/>
    <w:rsid w:val="005C0562"/>
    <w:rsid w:val="005C642C"/>
    <w:rsid w:val="005E1BCF"/>
    <w:rsid w:val="006E4288"/>
    <w:rsid w:val="0075585D"/>
    <w:rsid w:val="007C084B"/>
    <w:rsid w:val="008B6046"/>
    <w:rsid w:val="009A5635"/>
    <w:rsid w:val="009D6AE4"/>
    <w:rsid w:val="009F2465"/>
    <w:rsid w:val="009F5DFB"/>
    <w:rsid w:val="00A71F48"/>
    <w:rsid w:val="00B3026A"/>
    <w:rsid w:val="00C03BFE"/>
    <w:rsid w:val="00CC2B91"/>
    <w:rsid w:val="00D910CD"/>
    <w:rsid w:val="00DB4FA0"/>
    <w:rsid w:val="00E067C2"/>
    <w:rsid w:val="00E21686"/>
    <w:rsid w:val="00EF4FBF"/>
    <w:rsid w:val="00F0187D"/>
    <w:rsid w:val="00F9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B"/>
    <w:pPr>
      <w:spacing w:after="200" w:line="240" w:lineRule="auto"/>
    </w:pPr>
    <w:rPr>
      <w:rFonts w:ascii="Times New Roman" w:eastAsia="SimSun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9CB"/>
    <w:rPr>
      <w:color w:val="0563C1" w:themeColor="hyperlink"/>
      <w:u w:val="single"/>
    </w:rPr>
  </w:style>
  <w:style w:type="paragraph" w:customStyle="1" w:styleId="1">
    <w:name w:val="Обычный1"/>
    <w:qFormat/>
    <w:rsid w:val="004919C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No Spacing"/>
    <w:link w:val="a5"/>
    <w:uiPriority w:val="99"/>
    <w:qFormat/>
    <w:rsid w:val="009A56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9A563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a5">
    <w:name w:val="Без интервала Знак"/>
    <w:link w:val="a4"/>
    <w:uiPriority w:val="99"/>
    <w:rsid w:val="009A56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0">
    <w:name w:val="ListLabel 10"/>
    <w:uiPriority w:val="99"/>
    <w:rsid w:val="009A5635"/>
    <w:rPr>
      <w:position w:val="0"/>
      <w:sz w:val="20"/>
      <w:vertAlign w:val="baseline"/>
    </w:rPr>
  </w:style>
  <w:style w:type="character" w:customStyle="1" w:styleId="fontstyle01">
    <w:name w:val="fontstyle01"/>
    <w:basedOn w:val="a0"/>
    <w:rsid w:val="009A563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rvps2">
    <w:name w:val="rvps2"/>
    <w:basedOn w:val="a"/>
    <w:rsid w:val="007C084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1301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F5D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DF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39DC-19B2-43C9-B78A-1B96161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</cp:revision>
  <dcterms:created xsi:type="dcterms:W3CDTF">2022-11-28T11:41:00Z</dcterms:created>
  <dcterms:modified xsi:type="dcterms:W3CDTF">2023-12-15T09:47:00Z</dcterms:modified>
</cp:coreProperties>
</file>