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E46933" w:rsidP="00696E02">
      <w:pPr>
        <w:pStyle w:val="af0"/>
        <w:spacing w:line="240" w:lineRule="auto"/>
        <w:jc w:val="right"/>
        <w:rPr>
          <w:rFonts w:ascii="Times New Roman" w:hAnsi="Times New Roman"/>
          <w:sz w:val="24"/>
          <w:szCs w:val="24"/>
        </w:rPr>
      </w:pPr>
      <w:r>
        <w:rPr>
          <w:rFonts w:ascii="Times New Roman" w:hAnsi="Times New Roman"/>
          <w:sz w:val="24"/>
          <w:szCs w:val="24"/>
        </w:rPr>
        <w:t>Прое</w:t>
      </w:r>
      <w:r w:rsidR="007B5FBF">
        <w:rPr>
          <w:rFonts w:ascii="Times New Roman" w:hAnsi="Times New Roman"/>
          <w:sz w:val="24"/>
          <w:szCs w:val="24"/>
        </w:rPr>
        <w:t xml:space="preserve">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 xml:space="preserve">іляївської </w:t>
      </w:r>
      <w:r w:rsidR="006F3AAC">
        <w:rPr>
          <w:sz w:val="24"/>
          <w:szCs w:val="24"/>
          <w:lang w:val="uk-UA"/>
        </w:rPr>
        <w:t xml:space="preserve">міської </w:t>
      </w:r>
      <w:r w:rsidR="00FD251A">
        <w:rPr>
          <w:sz w:val="24"/>
          <w:szCs w:val="24"/>
        </w:rPr>
        <w:t>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r w:rsidR="00F00742" w:rsidRPr="008A6BFF">
        <w:rPr>
          <w:b/>
          <w:spacing w:val="-7"/>
          <w:sz w:val="24"/>
          <w:szCs w:val="24"/>
          <w:lang w:eastAsia="ru-RU"/>
        </w:rPr>
        <w:t>ДК 021:2015 336</w:t>
      </w:r>
      <w:r w:rsidR="00F00742">
        <w:rPr>
          <w:b/>
          <w:spacing w:val="-7"/>
          <w:sz w:val="24"/>
          <w:szCs w:val="24"/>
          <w:lang w:val="uk-UA" w:eastAsia="ru-RU"/>
        </w:rPr>
        <w:t>00000-6 «Фармацевтична продукція»</w:t>
      </w:r>
      <w:r w:rsidR="005E1A5D" w:rsidRPr="006176D7">
        <w:rPr>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137FD5"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137FD5">
        <w:rPr>
          <w:b/>
          <w:sz w:val="24"/>
          <w:szCs w:val="24"/>
        </w:rPr>
        <w:t xml:space="preserve">________________________ </w:t>
      </w:r>
      <w:proofErr w:type="spellStart"/>
      <w:r w:rsidRPr="00137FD5">
        <w:rPr>
          <w:b/>
          <w:sz w:val="24"/>
          <w:szCs w:val="24"/>
        </w:rPr>
        <w:t>грн</w:t>
      </w:r>
      <w:proofErr w:type="spellEnd"/>
      <w:r w:rsidRPr="00137FD5">
        <w:rPr>
          <w:b/>
          <w:sz w:val="24"/>
          <w:szCs w:val="24"/>
        </w:rPr>
        <w:t>. (</w:t>
      </w:r>
      <w:proofErr w:type="spellStart"/>
      <w:r w:rsidRPr="00137FD5">
        <w:rPr>
          <w:b/>
          <w:sz w:val="24"/>
          <w:szCs w:val="24"/>
        </w:rPr>
        <w:t>___</w:t>
      </w:r>
      <w:r w:rsidRPr="00137FD5">
        <w:rPr>
          <w:b/>
          <w:i/>
          <w:sz w:val="24"/>
          <w:szCs w:val="24"/>
          <w:u w:val="single"/>
        </w:rPr>
        <w:t>прописом</w:t>
      </w:r>
      <w:proofErr w:type="spellEnd"/>
      <w:r w:rsidRPr="00137FD5">
        <w:rPr>
          <w:b/>
          <w:sz w:val="24"/>
          <w:szCs w:val="24"/>
        </w:rPr>
        <w:t xml:space="preserve">_________________ </w:t>
      </w:r>
      <w:proofErr w:type="spellStart"/>
      <w:r w:rsidRPr="00137FD5">
        <w:rPr>
          <w:b/>
          <w:sz w:val="24"/>
          <w:szCs w:val="24"/>
        </w:rPr>
        <w:t>грн</w:t>
      </w:r>
      <w:proofErr w:type="spellEnd"/>
      <w:r w:rsidRPr="00137FD5">
        <w:rPr>
          <w:b/>
          <w:sz w:val="24"/>
          <w:szCs w:val="24"/>
        </w:rPr>
        <w:t xml:space="preserve">. </w:t>
      </w:r>
      <w:proofErr w:type="spellStart"/>
      <w:r w:rsidRPr="00137FD5">
        <w:rPr>
          <w:b/>
          <w:sz w:val="24"/>
          <w:szCs w:val="24"/>
        </w:rPr>
        <w:t>______коп</w:t>
      </w:r>
      <w:proofErr w:type="spellEnd"/>
      <w:r w:rsidRPr="00137FD5">
        <w:rPr>
          <w:b/>
          <w:sz w:val="24"/>
          <w:szCs w:val="24"/>
        </w:rPr>
        <w:t xml:space="preserve">.) </w:t>
      </w:r>
      <w:proofErr w:type="spellStart"/>
      <w:r w:rsidRPr="00137FD5">
        <w:rPr>
          <w:b/>
          <w:sz w:val="24"/>
          <w:szCs w:val="24"/>
        </w:rPr>
        <w:t>з</w:t>
      </w:r>
      <w:proofErr w:type="spellEnd"/>
      <w:r w:rsidRPr="00137FD5">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lastRenderedPageBreak/>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w:t>
      </w:r>
      <w:r w:rsidRPr="002B0C5A">
        <w:rPr>
          <w:b/>
          <w:sz w:val="24"/>
          <w:szCs w:val="24"/>
        </w:rPr>
        <w:t>31.12.20</w:t>
      </w:r>
      <w:r w:rsidR="004549E0" w:rsidRPr="002B0C5A">
        <w:rPr>
          <w:b/>
          <w:sz w:val="24"/>
          <w:szCs w:val="24"/>
        </w:rPr>
        <w:t>2</w:t>
      </w:r>
      <w:r w:rsidR="004549E0" w:rsidRPr="002B0C5A">
        <w:rPr>
          <w:b/>
          <w:sz w:val="24"/>
          <w:szCs w:val="24"/>
          <w:lang w:val="uk-UA"/>
        </w:rPr>
        <w:t>4</w:t>
      </w:r>
      <w:r w:rsidRPr="002B0C5A">
        <w:rPr>
          <w:b/>
          <w:sz w:val="24"/>
          <w:szCs w:val="24"/>
        </w:rPr>
        <w:t xml:space="preserve"> року</w:t>
      </w:r>
      <w:r w:rsidRPr="006C4E47">
        <w:rPr>
          <w:sz w:val="24"/>
          <w:szCs w:val="24"/>
        </w:rPr>
        <w:t xml:space="preserve">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w:t>
      </w:r>
      <w:r w:rsidRPr="00B7389D">
        <w:rPr>
          <w:sz w:val="24"/>
          <w:szCs w:val="24"/>
        </w:rPr>
        <w:lastRenderedPageBreak/>
        <w:t>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37FD5"/>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05481"/>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0C5A"/>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58B2"/>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3405"/>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0E8"/>
    <w:rsid w:val="005B485F"/>
    <w:rsid w:val="005B6A83"/>
    <w:rsid w:val="005C3378"/>
    <w:rsid w:val="005C3461"/>
    <w:rsid w:val="005E1A5D"/>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189E"/>
    <w:rsid w:val="006A702C"/>
    <w:rsid w:val="006B5B32"/>
    <w:rsid w:val="006C428E"/>
    <w:rsid w:val="006C489A"/>
    <w:rsid w:val="006C7B14"/>
    <w:rsid w:val="006D44CF"/>
    <w:rsid w:val="006E73D3"/>
    <w:rsid w:val="006F0674"/>
    <w:rsid w:val="006F37AC"/>
    <w:rsid w:val="006F3AAC"/>
    <w:rsid w:val="006F46CC"/>
    <w:rsid w:val="007015A1"/>
    <w:rsid w:val="0070176B"/>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46933"/>
    <w:rsid w:val="00E50BEB"/>
    <w:rsid w:val="00E51EFA"/>
    <w:rsid w:val="00E55E50"/>
    <w:rsid w:val="00E624BC"/>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0742"/>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5</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102</cp:revision>
  <cp:lastPrinted>2023-06-20T09:18:00Z</cp:lastPrinted>
  <dcterms:created xsi:type="dcterms:W3CDTF">2021-11-01T15:20:00Z</dcterms:created>
  <dcterms:modified xsi:type="dcterms:W3CDTF">2024-04-17T08:51:00Z</dcterms:modified>
</cp:coreProperties>
</file>