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9A" w:rsidRPr="00313EFC" w:rsidRDefault="00C22C9A" w:rsidP="00313EFC">
      <w:pPr>
        <w:tabs>
          <w:tab w:val="center" w:pos="4818"/>
        </w:tabs>
        <w:ind w:left="5954"/>
        <w:rPr>
          <w:bCs/>
          <w:i/>
          <w:color w:val="000000"/>
        </w:rPr>
      </w:pPr>
      <w:r w:rsidRPr="009E27D0">
        <w:rPr>
          <w:b/>
          <w:sz w:val="24"/>
          <w:szCs w:val="24"/>
        </w:rPr>
        <w:t>Додаток 1</w:t>
      </w:r>
      <w:r w:rsidRPr="009E27D0">
        <w:rPr>
          <w:b/>
          <w:sz w:val="24"/>
          <w:szCs w:val="24"/>
          <w:bdr w:val="none" w:sz="0" w:space="0" w:color="auto" w:frame="1"/>
        </w:rPr>
        <w:t xml:space="preserve">                                                                                  </w:t>
      </w:r>
      <w:r w:rsidRPr="00313EFC">
        <w:rPr>
          <w:i/>
          <w:bdr w:val="none" w:sz="0" w:space="0" w:color="auto" w:frame="1"/>
        </w:rPr>
        <w:t>до тенде</w:t>
      </w:r>
      <w:r w:rsidR="007D500C">
        <w:rPr>
          <w:i/>
          <w:bdr w:val="none" w:sz="0" w:space="0" w:color="auto" w:frame="1"/>
        </w:rPr>
        <w:t>рної документації на закупівлю «</w:t>
      </w:r>
      <w:r w:rsidR="00502C88">
        <w:rPr>
          <w:i/>
          <w:bdr w:val="none" w:sz="0" w:space="0" w:color="auto" w:frame="1"/>
        </w:rPr>
        <w:t>Демонтаж</w:t>
      </w:r>
      <w:r w:rsidR="00502C88" w:rsidRPr="00502C88">
        <w:rPr>
          <w:i/>
          <w:bdr w:val="none" w:sz="0" w:space="0" w:color="auto" w:frame="1"/>
        </w:rPr>
        <w:t xml:space="preserve"> знаків та символів, пов’язаних з радянським та комуністичним минулим</w:t>
      </w:r>
      <w:r w:rsidR="007D500C">
        <w:rPr>
          <w:bCs/>
          <w:i/>
          <w:color w:val="000000"/>
        </w:rPr>
        <w:t>»</w:t>
      </w:r>
    </w:p>
    <w:p w:rsidR="00313EFC" w:rsidRDefault="00313EFC" w:rsidP="00C22C9A">
      <w:pPr>
        <w:jc w:val="center"/>
        <w:rPr>
          <w:b/>
          <w:sz w:val="28"/>
          <w:szCs w:val="28"/>
        </w:rPr>
      </w:pPr>
    </w:p>
    <w:p w:rsidR="00C22C9A" w:rsidRPr="00EF2E9A" w:rsidRDefault="00C22C9A" w:rsidP="002573CD">
      <w:pPr>
        <w:jc w:val="center"/>
        <w:rPr>
          <w:b/>
          <w:sz w:val="28"/>
          <w:szCs w:val="28"/>
        </w:rPr>
      </w:pPr>
      <w:r w:rsidRPr="00EF2E9A">
        <w:rPr>
          <w:b/>
          <w:sz w:val="28"/>
          <w:szCs w:val="28"/>
        </w:rPr>
        <w:t>Завдання</w:t>
      </w:r>
    </w:p>
    <w:p w:rsidR="00C22C9A" w:rsidRPr="00EF2E9A" w:rsidRDefault="002573CD" w:rsidP="00ED6303">
      <w:pPr>
        <w:pStyle w:val="a5"/>
        <w:widowControl/>
        <w:suppressAutoHyphens/>
        <w:ind w:left="0"/>
        <w:jc w:val="center"/>
        <w:rPr>
          <w:rFonts w:ascii="Times New Roman" w:hAnsi="Times New Roman" w:cs="Times New Roman"/>
          <w:b/>
          <w:bCs/>
          <w:color w:val="000000"/>
          <w:sz w:val="22"/>
        </w:rPr>
      </w:pPr>
      <w:hyperlink r:id="rId6" w:history="1">
        <w:r w:rsidR="00C22C9A" w:rsidRPr="00EF2E9A">
          <w:rPr>
            <w:rStyle w:val="a3"/>
            <w:rFonts w:ascii="Times New Roman" w:hAnsi="Times New Roman" w:cs="Times New Roman"/>
            <w:b/>
            <w:color w:val="000000" w:themeColor="text1"/>
            <w:sz w:val="22"/>
            <w:u w:val="none"/>
            <w:bdr w:val="none" w:sz="0" w:space="0" w:color="auto" w:frame="1"/>
            <w:shd w:val="clear" w:color="auto" w:fill="FFFFFF"/>
            <w:lang w:eastAsia="zh-CN"/>
          </w:rPr>
          <w:t xml:space="preserve"> на </w:t>
        </w:r>
      </w:hyperlink>
      <w:r w:rsidR="004111C2">
        <w:rPr>
          <w:rStyle w:val="a3"/>
          <w:rFonts w:ascii="Times New Roman" w:hAnsi="Times New Roman" w:cs="Times New Roman"/>
          <w:b/>
          <w:color w:val="000000" w:themeColor="text1"/>
          <w:sz w:val="22"/>
          <w:u w:val="none"/>
          <w:bdr w:val="none" w:sz="0" w:space="0" w:color="auto" w:frame="1"/>
          <w:shd w:val="clear" w:color="auto" w:fill="FFFFFF"/>
          <w:lang w:eastAsia="zh-CN"/>
        </w:rPr>
        <w:t>проведення демонтажу знаків та символів, пов’язаних з радянським та комуністичним минулим</w:t>
      </w:r>
    </w:p>
    <w:p w:rsidR="00C22C9A" w:rsidRPr="00EF2E9A" w:rsidRDefault="00C22C9A" w:rsidP="00C22C9A">
      <w:pPr>
        <w:pStyle w:val="a5"/>
        <w:widowControl/>
        <w:suppressAutoHyphens/>
        <w:ind w:left="0"/>
        <w:jc w:val="center"/>
        <w:rPr>
          <w:rFonts w:ascii="Times New Roman" w:hAnsi="Times New Roman" w:cs="Times New Roman"/>
          <w:b/>
          <w:bCs/>
          <w:color w:val="000000" w:themeColor="text1"/>
          <w:sz w:val="22"/>
          <w:bdr w:val="none" w:sz="0" w:space="0" w:color="auto" w:frame="1"/>
          <w:shd w:val="clear" w:color="auto" w:fill="FFFFFF"/>
          <w:lang w:eastAsia="zh-CN"/>
        </w:rPr>
      </w:pPr>
      <w:r w:rsidRPr="00EF2E9A">
        <w:rPr>
          <w:rFonts w:ascii="Times New Roman" w:hAnsi="Times New Roman" w:cs="Times New Roman"/>
          <w:b/>
          <w:bCs/>
          <w:color w:val="000000" w:themeColor="text1"/>
          <w:sz w:val="22"/>
          <w:bdr w:val="none" w:sz="0" w:space="0" w:color="auto" w:frame="1"/>
          <w:shd w:val="clear" w:color="auto" w:fill="FFFFFF"/>
          <w:lang w:eastAsia="zh-CN"/>
        </w:rPr>
        <w:t xml:space="preserve">(ДК 021:2015 - </w:t>
      </w:r>
      <w:r w:rsidR="00F850B0">
        <w:rPr>
          <w:rFonts w:ascii="Times New Roman" w:hAnsi="Times New Roman" w:cs="Times New Roman"/>
          <w:b/>
          <w:bCs/>
          <w:color w:val="000000" w:themeColor="text1"/>
          <w:sz w:val="22"/>
          <w:bdr w:val="none" w:sz="0" w:space="0" w:color="auto" w:frame="1"/>
          <w:shd w:val="clear" w:color="auto" w:fill="FFFFFF"/>
          <w:lang w:eastAsia="zh-CN"/>
        </w:rPr>
        <w:t>4545</w:t>
      </w:r>
      <w:r w:rsidRPr="00EF2E9A">
        <w:rPr>
          <w:rFonts w:ascii="Times New Roman" w:hAnsi="Times New Roman" w:cs="Times New Roman"/>
          <w:b/>
          <w:bCs/>
          <w:color w:val="000000" w:themeColor="text1"/>
          <w:sz w:val="22"/>
          <w:bdr w:val="none" w:sz="0" w:space="0" w:color="auto" w:frame="1"/>
          <w:shd w:val="clear" w:color="auto" w:fill="FFFFFF"/>
          <w:lang w:eastAsia="zh-CN"/>
        </w:rPr>
        <w:t xml:space="preserve">0000-6 </w:t>
      </w:r>
      <w:r w:rsidR="00F850B0">
        <w:rPr>
          <w:rFonts w:ascii="Times New Roman" w:hAnsi="Times New Roman" w:cs="Times New Roman"/>
          <w:b/>
          <w:bCs/>
          <w:color w:val="000000" w:themeColor="text1"/>
          <w:sz w:val="22"/>
          <w:bdr w:val="none" w:sz="0" w:space="0" w:color="auto" w:frame="1"/>
          <w:shd w:val="clear" w:color="auto" w:fill="FFFFFF"/>
          <w:lang w:eastAsia="zh-CN"/>
        </w:rPr>
        <w:t>Інші завершальні будівельні роботи</w:t>
      </w:r>
      <w:r w:rsidRPr="00EF2E9A">
        <w:rPr>
          <w:rFonts w:ascii="Times New Roman" w:hAnsi="Times New Roman" w:cs="Times New Roman"/>
          <w:b/>
          <w:bCs/>
          <w:color w:val="000000" w:themeColor="text1"/>
          <w:sz w:val="22"/>
          <w:bdr w:val="none" w:sz="0" w:space="0" w:color="auto" w:frame="1"/>
          <w:shd w:val="clear" w:color="auto" w:fill="FFFFFF"/>
          <w:lang w:eastAsia="zh-CN"/>
        </w:rPr>
        <w:t>)</w:t>
      </w:r>
    </w:p>
    <w:tbl>
      <w:tblPr>
        <w:tblW w:w="9645" w:type="dxa"/>
        <w:tblInd w:w="421" w:type="dxa"/>
        <w:tblLayout w:type="fixed"/>
        <w:tblLook w:val="04A0" w:firstRow="1" w:lastRow="0" w:firstColumn="1" w:lastColumn="0" w:noHBand="0" w:noVBand="1"/>
      </w:tblPr>
      <w:tblGrid>
        <w:gridCol w:w="568"/>
        <w:gridCol w:w="3829"/>
        <w:gridCol w:w="5248"/>
      </w:tblGrid>
      <w:tr w:rsidR="00EB5D0F" w:rsidRPr="009E27D0" w:rsidTr="00313EFC">
        <w:trPr>
          <w:trHeight w:val="435"/>
        </w:trPr>
        <w:tc>
          <w:tcPr>
            <w:tcW w:w="568" w:type="dxa"/>
            <w:tcBorders>
              <w:top w:val="single" w:sz="4" w:space="0" w:color="000000"/>
              <w:left w:val="single" w:sz="4" w:space="0" w:color="000000"/>
              <w:bottom w:val="single" w:sz="4" w:space="0" w:color="000000"/>
              <w:right w:val="nil"/>
            </w:tcBorders>
            <w:hideMark/>
          </w:tcPr>
          <w:p w:rsidR="00EB5D0F" w:rsidRPr="009E27D0" w:rsidRDefault="00EB5D0F">
            <w:pPr>
              <w:spacing w:line="256" w:lineRule="auto"/>
              <w:jc w:val="both"/>
              <w:rPr>
                <w:b/>
              </w:rPr>
            </w:pPr>
            <w:r w:rsidRPr="009E27D0">
              <w:rPr>
                <w:b/>
              </w:rPr>
              <w:t>№ п/п</w:t>
            </w:r>
          </w:p>
        </w:tc>
        <w:tc>
          <w:tcPr>
            <w:tcW w:w="3829" w:type="dxa"/>
            <w:tcBorders>
              <w:top w:val="single" w:sz="4" w:space="0" w:color="000000"/>
              <w:left w:val="single" w:sz="4" w:space="0" w:color="000000"/>
              <w:bottom w:val="single" w:sz="4" w:space="0" w:color="000000"/>
              <w:right w:val="nil"/>
            </w:tcBorders>
            <w:hideMark/>
          </w:tcPr>
          <w:p w:rsidR="00EB5D0F" w:rsidRPr="009E27D0" w:rsidRDefault="00EB5D0F">
            <w:pPr>
              <w:spacing w:line="256" w:lineRule="auto"/>
              <w:jc w:val="center"/>
              <w:rPr>
                <w:b/>
              </w:rPr>
            </w:pPr>
            <w:r w:rsidRPr="009E27D0">
              <w:rPr>
                <w:b/>
              </w:rPr>
              <w:t>Складова завдання</w:t>
            </w:r>
          </w:p>
        </w:tc>
        <w:tc>
          <w:tcPr>
            <w:tcW w:w="5248" w:type="dxa"/>
            <w:tcBorders>
              <w:top w:val="single" w:sz="4" w:space="0" w:color="000000"/>
              <w:left w:val="single" w:sz="4" w:space="0" w:color="000000"/>
              <w:bottom w:val="single" w:sz="4" w:space="0" w:color="000000"/>
              <w:right w:val="single" w:sz="4" w:space="0" w:color="000000"/>
            </w:tcBorders>
            <w:hideMark/>
          </w:tcPr>
          <w:p w:rsidR="00EB5D0F" w:rsidRPr="009E27D0" w:rsidRDefault="00EB5D0F">
            <w:pPr>
              <w:spacing w:line="256" w:lineRule="auto"/>
              <w:jc w:val="center"/>
            </w:pPr>
            <w:r w:rsidRPr="009E27D0">
              <w:rPr>
                <w:b/>
              </w:rPr>
              <w:t>Зміст</w:t>
            </w:r>
          </w:p>
        </w:tc>
      </w:tr>
      <w:tr w:rsidR="00EB5D0F" w:rsidRPr="009E27D0" w:rsidTr="00313EFC">
        <w:trPr>
          <w:trHeight w:val="360"/>
        </w:trPr>
        <w:tc>
          <w:tcPr>
            <w:tcW w:w="568" w:type="dxa"/>
            <w:tcBorders>
              <w:top w:val="single" w:sz="4" w:space="0" w:color="000000"/>
              <w:left w:val="single" w:sz="4" w:space="0" w:color="000000"/>
              <w:bottom w:val="single" w:sz="4" w:space="0" w:color="000000"/>
              <w:right w:val="nil"/>
            </w:tcBorders>
            <w:hideMark/>
          </w:tcPr>
          <w:p w:rsidR="00EB5D0F" w:rsidRPr="009E27D0" w:rsidRDefault="00EB5D0F">
            <w:pPr>
              <w:spacing w:line="256" w:lineRule="auto"/>
              <w:jc w:val="both"/>
            </w:pPr>
            <w:r w:rsidRPr="009E27D0">
              <w:t>1</w:t>
            </w:r>
          </w:p>
        </w:tc>
        <w:tc>
          <w:tcPr>
            <w:tcW w:w="3829" w:type="dxa"/>
            <w:tcBorders>
              <w:top w:val="single" w:sz="4" w:space="0" w:color="000000"/>
              <w:left w:val="single" w:sz="4" w:space="0" w:color="000000"/>
              <w:bottom w:val="single" w:sz="4" w:space="0" w:color="000000"/>
              <w:right w:val="nil"/>
            </w:tcBorders>
            <w:hideMark/>
          </w:tcPr>
          <w:p w:rsidR="00EB5D0F" w:rsidRPr="009E27D0" w:rsidRDefault="00EB5D0F">
            <w:pPr>
              <w:spacing w:line="256" w:lineRule="auto"/>
            </w:pPr>
            <w:r w:rsidRPr="009E27D0">
              <w:t>Підстава для проектування</w:t>
            </w:r>
          </w:p>
        </w:tc>
        <w:tc>
          <w:tcPr>
            <w:tcW w:w="5248" w:type="dxa"/>
            <w:tcBorders>
              <w:top w:val="single" w:sz="4" w:space="0" w:color="000000"/>
              <w:left w:val="single" w:sz="4" w:space="0" w:color="000000"/>
              <w:bottom w:val="single" w:sz="4" w:space="0" w:color="000000"/>
              <w:right w:val="single" w:sz="4" w:space="0" w:color="000000"/>
            </w:tcBorders>
            <w:hideMark/>
          </w:tcPr>
          <w:p w:rsidR="00EB5D0F" w:rsidRPr="004111C2" w:rsidRDefault="00EB5D0F" w:rsidP="004111C2">
            <w:pPr>
              <w:spacing w:line="256" w:lineRule="auto"/>
            </w:pPr>
            <w:r w:rsidRPr="009E27D0">
              <w:t>Рішення</w:t>
            </w:r>
            <w:r w:rsidR="00EF2E9A">
              <w:t xml:space="preserve"> Запорізької міської ради від </w:t>
            </w:r>
            <w:r w:rsidR="00DC15AF">
              <w:t>11.06.2021       № 68</w:t>
            </w:r>
            <w:r w:rsidR="00CB2809">
              <w:t xml:space="preserve"> </w:t>
            </w:r>
            <w:r w:rsidR="004111C2" w:rsidRPr="004111C2">
              <w:t>(</w:t>
            </w:r>
            <w:r w:rsidR="004111C2">
              <w:t>зі</w:t>
            </w:r>
            <w:r w:rsidR="004111C2" w:rsidRPr="004111C2">
              <w:t xml:space="preserve"> зм</w:t>
            </w:r>
            <w:r w:rsidR="004111C2">
              <w:t>і</w:t>
            </w:r>
            <w:r w:rsidR="004111C2" w:rsidRPr="004111C2">
              <w:t>нами)</w:t>
            </w:r>
          </w:p>
        </w:tc>
      </w:tr>
      <w:tr w:rsidR="00EB5D0F" w:rsidRPr="009E27D0" w:rsidTr="00313EFC">
        <w:trPr>
          <w:trHeight w:val="345"/>
        </w:trPr>
        <w:tc>
          <w:tcPr>
            <w:tcW w:w="568" w:type="dxa"/>
            <w:tcBorders>
              <w:top w:val="single" w:sz="4" w:space="0" w:color="000000"/>
              <w:left w:val="single" w:sz="4" w:space="0" w:color="000000"/>
              <w:bottom w:val="single" w:sz="4" w:space="0" w:color="000000"/>
              <w:right w:val="nil"/>
            </w:tcBorders>
            <w:hideMark/>
          </w:tcPr>
          <w:p w:rsidR="00EB5D0F" w:rsidRPr="009E27D0" w:rsidRDefault="00EB5D0F">
            <w:pPr>
              <w:spacing w:line="256" w:lineRule="auto"/>
              <w:jc w:val="both"/>
            </w:pPr>
            <w:r w:rsidRPr="009E27D0">
              <w:t>2</w:t>
            </w:r>
          </w:p>
        </w:tc>
        <w:tc>
          <w:tcPr>
            <w:tcW w:w="3829" w:type="dxa"/>
            <w:tcBorders>
              <w:top w:val="single" w:sz="4" w:space="0" w:color="000000"/>
              <w:left w:val="single" w:sz="4" w:space="0" w:color="000000"/>
              <w:bottom w:val="single" w:sz="4" w:space="0" w:color="000000"/>
              <w:right w:val="nil"/>
            </w:tcBorders>
            <w:hideMark/>
          </w:tcPr>
          <w:p w:rsidR="00EB5D0F" w:rsidRPr="009E27D0" w:rsidRDefault="00EB5D0F" w:rsidP="00784665">
            <w:pPr>
              <w:spacing w:line="256" w:lineRule="auto"/>
            </w:pPr>
            <w:r w:rsidRPr="009E27D0">
              <w:t>Замовник проекту</w:t>
            </w:r>
          </w:p>
        </w:tc>
        <w:tc>
          <w:tcPr>
            <w:tcW w:w="5248" w:type="dxa"/>
            <w:tcBorders>
              <w:top w:val="single" w:sz="4" w:space="0" w:color="000000"/>
              <w:left w:val="single" w:sz="4" w:space="0" w:color="000000"/>
              <w:bottom w:val="single" w:sz="4" w:space="0" w:color="000000"/>
              <w:right w:val="single" w:sz="4" w:space="0" w:color="000000"/>
            </w:tcBorders>
            <w:hideMark/>
          </w:tcPr>
          <w:p w:rsidR="00EB5D0F" w:rsidRPr="009E27D0" w:rsidRDefault="00EF2E9A" w:rsidP="00EF2E9A">
            <w:pPr>
              <w:spacing w:line="256" w:lineRule="auto"/>
              <w:jc w:val="both"/>
            </w:pPr>
            <w:r>
              <w:t xml:space="preserve">Відділ охорони культурної спадщини Запорізької </w:t>
            </w:r>
            <w:r w:rsidR="00EB5D0F" w:rsidRPr="009E27D0">
              <w:t>міської ради</w:t>
            </w:r>
          </w:p>
        </w:tc>
      </w:tr>
      <w:tr w:rsidR="00EB5D0F" w:rsidRPr="009E27D0" w:rsidTr="00313EFC">
        <w:trPr>
          <w:trHeight w:val="525"/>
        </w:trPr>
        <w:tc>
          <w:tcPr>
            <w:tcW w:w="568" w:type="dxa"/>
            <w:tcBorders>
              <w:top w:val="single" w:sz="4" w:space="0" w:color="000000"/>
              <w:left w:val="single" w:sz="4" w:space="0" w:color="000000"/>
              <w:bottom w:val="single" w:sz="4" w:space="0" w:color="000000"/>
              <w:right w:val="nil"/>
            </w:tcBorders>
            <w:hideMark/>
          </w:tcPr>
          <w:p w:rsidR="00EB5D0F" w:rsidRPr="009E27D0" w:rsidRDefault="00EB5D0F">
            <w:pPr>
              <w:spacing w:line="256" w:lineRule="auto"/>
              <w:jc w:val="both"/>
            </w:pPr>
            <w:r w:rsidRPr="009E27D0">
              <w:t>3</w:t>
            </w:r>
          </w:p>
        </w:tc>
        <w:tc>
          <w:tcPr>
            <w:tcW w:w="3829" w:type="dxa"/>
            <w:tcBorders>
              <w:top w:val="single" w:sz="4" w:space="0" w:color="000000"/>
              <w:left w:val="single" w:sz="4" w:space="0" w:color="000000"/>
              <w:bottom w:val="single" w:sz="4" w:space="0" w:color="000000"/>
              <w:right w:val="nil"/>
            </w:tcBorders>
            <w:hideMark/>
          </w:tcPr>
          <w:p w:rsidR="00EB5D0F" w:rsidRPr="009E27D0" w:rsidRDefault="004111C2" w:rsidP="00784665">
            <w:pPr>
              <w:spacing w:line="256" w:lineRule="auto"/>
              <w:jc w:val="both"/>
            </w:pPr>
            <w:r>
              <w:t>Виконавець</w:t>
            </w:r>
          </w:p>
        </w:tc>
        <w:tc>
          <w:tcPr>
            <w:tcW w:w="5248" w:type="dxa"/>
            <w:tcBorders>
              <w:top w:val="single" w:sz="4" w:space="0" w:color="000000"/>
              <w:left w:val="single" w:sz="4" w:space="0" w:color="000000"/>
              <w:bottom w:val="single" w:sz="4" w:space="0" w:color="000000"/>
              <w:right w:val="single" w:sz="4" w:space="0" w:color="000000"/>
            </w:tcBorders>
          </w:tcPr>
          <w:p w:rsidR="00EB5D0F" w:rsidRPr="009E27D0" w:rsidRDefault="00EB5D0F">
            <w:pPr>
              <w:spacing w:line="256" w:lineRule="auto"/>
            </w:pPr>
          </w:p>
        </w:tc>
      </w:tr>
      <w:tr w:rsidR="00EB5D0F" w:rsidRPr="009E27D0" w:rsidTr="00313EFC">
        <w:trPr>
          <w:trHeight w:val="360"/>
        </w:trPr>
        <w:tc>
          <w:tcPr>
            <w:tcW w:w="568" w:type="dxa"/>
            <w:tcBorders>
              <w:top w:val="single" w:sz="4" w:space="0" w:color="000000"/>
              <w:left w:val="single" w:sz="4" w:space="0" w:color="000000"/>
              <w:bottom w:val="single" w:sz="4" w:space="0" w:color="000000"/>
              <w:right w:val="nil"/>
            </w:tcBorders>
            <w:hideMark/>
          </w:tcPr>
          <w:p w:rsidR="00EB5D0F" w:rsidRPr="009E27D0" w:rsidRDefault="00EB5D0F">
            <w:pPr>
              <w:spacing w:line="256" w:lineRule="auto"/>
              <w:jc w:val="both"/>
            </w:pPr>
            <w:r w:rsidRPr="009E27D0">
              <w:t>4</w:t>
            </w:r>
          </w:p>
        </w:tc>
        <w:tc>
          <w:tcPr>
            <w:tcW w:w="3829" w:type="dxa"/>
            <w:tcBorders>
              <w:top w:val="single" w:sz="4" w:space="0" w:color="000000"/>
              <w:left w:val="single" w:sz="4" w:space="0" w:color="000000"/>
              <w:bottom w:val="single" w:sz="4" w:space="0" w:color="000000"/>
              <w:right w:val="nil"/>
            </w:tcBorders>
            <w:hideMark/>
          </w:tcPr>
          <w:p w:rsidR="00EB5D0F" w:rsidRPr="009E27D0" w:rsidRDefault="00EB5D0F" w:rsidP="004111C2">
            <w:pPr>
              <w:spacing w:line="256" w:lineRule="auto"/>
              <w:jc w:val="both"/>
            </w:pPr>
            <w:r w:rsidRPr="009E27D0">
              <w:t xml:space="preserve">Строк </w:t>
            </w:r>
            <w:r w:rsidR="004111C2">
              <w:t>надання послуг</w:t>
            </w:r>
          </w:p>
        </w:tc>
        <w:tc>
          <w:tcPr>
            <w:tcW w:w="5248" w:type="dxa"/>
            <w:tcBorders>
              <w:top w:val="single" w:sz="4" w:space="0" w:color="000000"/>
              <w:left w:val="single" w:sz="4" w:space="0" w:color="000000"/>
              <w:bottom w:val="single" w:sz="4" w:space="0" w:color="000000"/>
              <w:right w:val="single" w:sz="4" w:space="0" w:color="000000"/>
            </w:tcBorders>
            <w:hideMark/>
          </w:tcPr>
          <w:p w:rsidR="00EB5D0F" w:rsidRPr="009E27D0" w:rsidRDefault="00F850B0" w:rsidP="00F850B0">
            <w:pPr>
              <w:spacing w:line="256" w:lineRule="auto"/>
            </w:pPr>
            <w:r>
              <w:t>Протягом 45</w:t>
            </w:r>
            <w:r w:rsidR="00EF2E9A">
              <w:t xml:space="preserve"> календарних днів з дня укладення договору</w:t>
            </w:r>
          </w:p>
        </w:tc>
      </w:tr>
      <w:tr w:rsidR="00EB5D0F" w:rsidRPr="009E27D0" w:rsidTr="00313EFC">
        <w:trPr>
          <w:trHeight w:val="360"/>
        </w:trPr>
        <w:tc>
          <w:tcPr>
            <w:tcW w:w="568" w:type="dxa"/>
            <w:tcBorders>
              <w:top w:val="single" w:sz="4" w:space="0" w:color="000000"/>
              <w:left w:val="single" w:sz="4" w:space="0" w:color="000000"/>
              <w:bottom w:val="single" w:sz="4" w:space="0" w:color="000000"/>
              <w:right w:val="nil"/>
            </w:tcBorders>
            <w:hideMark/>
          </w:tcPr>
          <w:p w:rsidR="00EB5D0F" w:rsidRPr="009E27D0" w:rsidRDefault="00313EFC">
            <w:pPr>
              <w:spacing w:line="256" w:lineRule="auto"/>
              <w:jc w:val="both"/>
            </w:pPr>
            <w:r>
              <w:t>5</w:t>
            </w:r>
          </w:p>
        </w:tc>
        <w:tc>
          <w:tcPr>
            <w:tcW w:w="3829" w:type="dxa"/>
            <w:tcBorders>
              <w:top w:val="single" w:sz="4" w:space="0" w:color="000000"/>
              <w:left w:val="single" w:sz="4" w:space="0" w:color="000000"/>
              <w:bottom w:val="single" w:sz="4" w:space="0" w:color="000000"/>
              <w:right w:val="nil"/>
            </w:tcBorders>
            <w:hideMark/>
          </w:tcPr>
          <w:p w:rsidR="00EB5D0F" w:rsidRPr="009E27D0" w:rsidRDefault="00EB5D0F" w:rsidP="00F850B0">
            <w:pPr>
              <w:spacing w:line="256" w:lineRule="auto"/>
              <w:rPr>
                <w:color w:val="FF0000"/>
              </w:rPr>
            </w:pPr>
            <w:r w:rsidRPr="009E27D0">
              <w:t xml:space="preserve">Мета </w:t>
            </w:r>
            <w:r w:rsidR="00F850B0">
              <w:t>проведення заходів</w:t>
            </w:r>
          </w:p>
        </w:tc>
        <w:tc>
          <w:tcPr>
            <w:tcW w:w="5248" w:type="dxa"/>
            <w:tcBorders>
              <w:top w:val="single" w:sz="4" w:space="0" w:color="000000"/>
              <w:left w:val="single" w:sz="4" w:space="0" w:color="000000"/>
              <w:bottom w:val="single" w:sz="4" w:space="0" w:color="000000"/>
              <w:right w:val="single" w:sz="4" w:space="0" w:color="000000"/>
            </w:tcBorders>
            <w:hideMark/>
          </w:tcPr>
          <w:p w:rsidR="00EB5D0F" w:rsidRPr="009E27D0" w:rsidRDefault="00F850B0" w:rsidP="005909E4">
            <w:pPr>
              <w:tabs>
                <w:tab w:val="left" w:pos="381"/>
              </w:tabs>
              <w:spacing w:line="256" w:lineRule="auto"/>
              <w:jc w:val="both"/>
            </w:pPr>
            <w:r>
              <w:t xml:space="preserve">Заходи </w:t>
            </w:r>
            <w:r w:rsidRPr="00F850B0">
              <w:t xml:space="preserve">спрямовані на </w:t>
            </w:r>
            <w:r w:rsidR="005909E4">
              <w:t>ліквідацію російсько-імперських та радянських наративів на фасадах об’єктів архітектури міста</w:t>
            </w:r>
            <w:r w:rsidRPr="00F850B0">
              <w:t>.</w:t>
            </w:r>
          </w:p>
        </w:tc>
      </w:tr>
      <w:tr w:rsidR="00EB5D0F" w:rsidRPr="009E27D0" w:rsidTr="00313EFC">
        <w:trPr>
          <w:trHeight w:val="330"/>
        </w:trPr>
        <w:tc>
          <w:tcPr>
            <w:tcW w:w="568" w:type="dxa"/>
            <w:tcBorders>
              <w:top w:val="single" w:sz="4" w:space="0" w:color="000000"/>
              <w:left w:val="single" w:sz="4" w:space="0" w:color="000000"/>
              <w:bottom w:val="single" w:sz="4" w:space="0" w:color="000000"/>
              <w:right w:val="nil"/>
            </w:tcBorders>
            <w:hideMark/>
          </w:tcPr>
          <w:p w:rsidR="00EB5D0F" w:rsidRPr="009E27D0" w:rsidRDefault="00313EFC">
            <w:pPr>
              <w:spacing w:line="256" w:lineRule="auto"/>
              <w:jc w:val="both"/>
            </w:pPr>
            <w:r>
              <w:t>6</w:t>
            </w:r>
          </w:p>
        </w:tc>
        <w:tc>
          <w:tcPr>
            <w:tcW w:w="3829" w:type="dxa"/>
            <w:tcBorders>
              <w:top w:val="single" w:sz="4" w:space="0" w:color="000000"/>
              <w:left w:val="single" w:sz="4" w:space="0" w:color="000000"/>
              <w:bottom w:val="single" w:sz="4" w:space="0" w:color="000000"/>
              <w:right w:val="nil"/>
            </w:tcBorders>
            <w:hideMark/>
          </w:tcPr>
          <w:p w:rsidR="00EB5D0F" w:rsidRPr="009E27D0" w:rsidRDefault="00EB5D0F" w:rsidP="00AB2299">
            <w:pPr>
              <w:jc w:val="both"/>
            </w:pPr>
            <w:r w:rsidRPr="009E27D0">
              <w:t xml:space="preserve">Вимоги до </w:t>
            </w:r>
            <w:r w:rsidR="00AB2299">
              <w:t>Виконавця послуг</w:t>
            </w:r>
          </w:p>
        </w:tc>
        <w:tc>
          <w:tcPr>
            <w:tcW w:w="5248" w:type="dxa"/>
            <w:tcBorders>
              <w:top w:val="single" w:sz="4" w:space="0" w:color="000000"/>
              <w:left w:val="single" w:sz="4" w:space="0" w:color="000000"/>
              <w:bottom w:val="single" w:sz="4" w:space="0" w:color="000000"/>
              <w:right w:val="single" w:sz="4" w:space="0" w:color="000000"/>
            </w:tcBorders>
            <w:hideMark/>
          </w:tcPr>
          <w:p w:rsidR="00EB5D0F" w:rsidRPr="009E27D0" w:rsidRDefault="00AB2299" w:rsidP="00204783">
            <w:pPr>
              <w:widowControl/>
              <w:suppressAutoHyphens/>
              <w:autoSpaceDE/>
              <w:spacing w:line="256" w:lineRule="auto"/>
              <w:jc w:val="both"/>
            </w:pPr>
            <w:r>
              <w:t>Обов’язкова наявність авто</w:t>
            </w:r>
            <w:r w:rsidR="00204783">
              <w:t>вишки</w:t>
            </w:r>
            <w:r>
              <w:t xml:space="preserve">  </w:t>
            </w:r>
          </w:p>
        </w:tc>
      </w:tr>
      <w:tr w:rsidR="00DC15AF" w:rsidRPr="009E27D0" w:rsidTr="00313EFC">
        <w:trPr>
          <w:trHeight w:val="330"/>
        </w:trPr>
        <w:tc>
          <w:tcPr>
            <w:tcW w:w="568" w:type="dxa"/>
            <w:tcBorders>
              <w:top w:val="single" w:sz="4" w:space="0" w:color="000000"/>
              <w:left w:val="single" w:sz="4" w:space="0" w:color="000000"/>
              <w:bottom w:val="single" w:sz="4" w:space="0" w:color="000000"/>
              <w:right w:val="nil"/>
            </w:tcBorders>
          </w:tcPr>
          <w:p w:rsidR="00DC15AF" w:rsidRDefault="00DC15AF">
            <w:pPr>
              <w:spacing w:line="256" w:lineRule="auto"/>
              <w:jc w:val="both"/>
            </w:pPr>
            <w:r>
              <w:t>7</w:t>
            </w:r>
          </w:p>
        </w:tc>
        <w:tc>
          <w:tcPr>
            <w:tcW w:w="3829" w:type="dxa"/>
            <w:tcBorders>
              <w:top w:val="single" w:sz="4" w:space="0" w:color="000000"/>
              <w:left w:val="single" w:sz="4" w:space="0" w:color="000000"/>
              <w:bottom w:val="single" w:sz="4" w:space="0" w:color="000000"/>
              <w:right w:val="nil"/>
            </w:tcBorders>
          </w:tcPr>
          <w:p w:rsidR="00DC15AF" w:rsidRPr="009E27D0" w:rsidRDefault="00DC15AF" w:rsidP="00DC15AF">
            <w:pPr>
              <w:jc w:val="both"/>
            </w:pPr>
            <w:r>
              <w:t xml:space="preserve">Перелік об’єктів на які необхідно розробити </w:t>
            </w:r>
            <w:r w:rsidRPr="00A13401">
              <w:t>паспортів опорядження головних фасадів</w:t>
            </w:r>
          </w:p>
        </w:tc>
        <w:tc>
          <w:tcPr>
            <w:tcW w:w="5248" w:type="dxa"/>
            <w:tcBorders>
              <w:top w:val="single" w:sz="4" w:space="0" w:color="000000"/>
              <w:left w:val="single" w:sz="4" w:space="0" w:color="000000"/>
              <w:bottom w:val="single" w:sz="4" w:space="0" w:color="000000"/>
              <w:right w:val="single" w:sz="4" w:space="0" w:color="000000"/>
            </w:tcBorders>
          </w:tcPr>
          <w:p w:rsidR="00E811E5" w:rsidRDefault="00E811E5" w:rsidP="00E811E5">
            <w:pPr>
              <w:widowControl/>
              <w:suppressAutoHyphens/>
              <w:autoSpaceDE/>
              <w:spacing w:line="256" w:lineRule="auto"/>
              <w:jc w:val="both"/>
            </w:pPr>
            <w:r>
              <w:t>Назва пам’ятки, вид</w:t>
            </w:r>
            <w:r w:rsidR="00A63F55">
              <w:t xml:space="preserve">, </w:t>
            </w:r>
            <w:r>
              <w:t xml:space="preserve"> </w:t>
            </w:r>
            <w:r w:rsidR="00A63F55">
              <w:t>а</w:t>
            </w:r>
            <w:r>
              <w:t>дреса</w:t>
            </w:r>
            <w:r w:rsidR="00A63F55">
              <w:t>,</w:t>
            </w:r>
            <w:r>
              <w:tab/>
            </w:r>
            <w:r w:rsidR="00A63F55">
              <w:t>к</w:t>
            </w:r>
            <w:r>
              <w:t>ількість символіки</w:t>
            </w:r>
          </w:p>
          <w:p w:rsidR="00E811E5" w:rsidRPr="00E811E5" w:rsidRDefault="00E811E5" w:rsidP="00E811E5">
            <w:pPr>
              <w:widowControl/>
              <w:suppressAutoHyphens/>
              <w:autoSpaceDE/>
              <w:spacing w:line="256" w:lineRule="auto"/>
              <w:jc w:val="both"/>
              <w:rPr>
                <w:b/>
              </w:rPr>
            </w:pPr>
            <w:proofErr w:type="spellStart"/>
            <w:r w:rsidRPr="00E811E5">
              <w:rPr>
                <w:b/>
              </w:rPr>
              <w:t>Вознесенівський</w:t>
            </w:r>
            <w:proofErr w:type="spellEnd"/>
            <w:r w:rsidRPr="00E811E5">
              <w:rPr>
                <w:b/>
              </w:rPr>
              <w:t xml:space="preserve"> район</w:t>
            </w:r>
          </w:p>
          <w:p w:rsidR="00E811E5" w:rsidRDefault="00E811E5" w:rsidP="00E811E5">
            <w:pPr>
              <w:widowControl/>
              <w:suppressAutoHyphens/>
              <w:autoSpaceDE/>
              <w:spacing w:line="256" w:lineRule="auto"/>
              <w:jc w:val="both"/>
            </w:pPr>
            <w:r>
              <w:t>Житловий будинок, пр. Соборний, 149 - 8 од.</w:t>
            </w:r>
          </w:p>
          <w:p w:rsidR="00E811E5" w:rsidRDefault="00E811E5" w:rsidP="00E811E5">
            <w:pPr>
              <w:widowControl/>
              <w:suppressAutoHyphens/>
              <w:autoSpaceDE/>
              <w:spacing w:line="256" w:lineRule="auto"/>
              <w:jc w:val="both"/>
            </w:pPr>
            <w:r>
              <w:t>Житловий будинок, пр. Соборний, 151 – 8 од.</w:t>
            </w:r>
          </w:p>
          <w:p w:rsidR="00E811E5" w:rsidRDefault="00E811E5" w:rsidP="00E811E5">
            <w:pPr>
              <w:widowControl/>
              <w:suppressAutoHyphens/>
              <w:autoSpaceDE/>
              <w:spacing w:line="256" w:lineRule="auto"/>
              <w:jc w:val="both"/>
            </w:pPr>
            <w:r>
              <w:t>Житловий будинок, пр. Соборний, 153 – 32 од.</w:t>
            </w:r>
          </w:p>
          <w:p w:rsidR="00E811E5" w:rsidRDefault="00E811E5" w:rsidP="00E811E5">
            <w:pPr>
              <w:widowControl/>
              <w:suppressAutoHyphens/>
              <w:autoSpaceDE/>
              <w:spacing w:line="256" w:lineRule="auto"/>
              <w:jc w:val="both"/>
            </w:pPr>
            <w:r>
              <w:t>Житловий будинок, пр. Соборний, 159 – 8 од.</w:t>
            </w:r>
          </w:p>
          <w:p w:rsidR="00E811E5" w:rsidRDefault="00E811E5" w:rsidP="00E811E5">
            <w:pPr>
              <w:widowControl/>
              <w:suppressAutoHyphens/>
              <w:autoSpaceDE/>
              <w:spacing w:line="256" w:lineRule="auto"/>
              <w:jc w:val="both"/>
            </w:pPr>
            <w:r>
              <w:t>Житловий будинок, пр. Соборний, 167 – 64 од.</w:t>
            </w:r>
          </w:p>
          <w:p w:rsidR="00E811E5" w:rsidRDefault="00E811E5" w:rsidP="00E811E5">
            <w:pPr>
              <w:widowControl/>
              <w:suppressAutoHyphens/>
              <w:autoSpaceDE/>
              <w:spacing w:line="256" w:lineRule="auto"/>
              <w:jc w:val="both"/>
            </w:pPr>
            <w:r>
              <w:t>Житловий будинок, пр. Соборний, 171 – 136 од.</w:t>
            </w:r>
          </w:p>
          <w:p w:rsidR="00E811E5" w:rsidRDefault="00E811E5" w:rsidP="00E811E5">
            <w:pPr>
              <w:widowControl/>
              <w:suppressAutoHyphens/>
              <w:autoSpaceDE/>
              <w:spacing w:line="256" w:lineRule="auto"/>
              <w:jc w:val="both"/>
            </w:pPr>
            <w:r>
              <w:t>Житловий будинок, пр. Соборний, 186 – 12 од.</w:t>
            </w:r>
          </w:p>
          <w:p w:rsidR="00E811E5" w:rsidRDefault="00E811E5" w:rsidP="00E811E5">
            <w:pPr>
              <w:widowControl/>
              <w:suppressAutoHyphens/>
              <w:autoSpaceDE/>
              <w:spacing w:line="256" w:lineRule="auto"/>
              <w:jc w:val="both"/>
            </w:pPr>
            <w:r>
              <w:t>Житловий будинок, пр. Соборний, 190 – 10 од.</w:t>
            </w:r>
          </w:p>
          <w:p w:rsidR="00E811E5" w:rsidRDefault="00E811E5" w:rsidP="00E811E5">
            <w:pPr>
              <w:widowControl/>
              <w:suppressAutoHyphens/>
              <w:autoSpaceDE/>
              <w:spacing w:line="256" w:lineRule="auto"/>
              <w:jc w:val="both"/>
            </w:pPr>
            <w:r>
              <w:t>Житловий будинок, пр. Соборний, 200 – 4 од.</w:t>
            </w:r>
          </w:p>
          <w:p w:rsidR="00E811E5" w:rsidRDefault="00E811E5" w:rsidP="00E811E5">
            <w:pPr>
              <w:widowControl/>
              <w:suppressAutoHyphens/>
              <w:autoSpaceDE/>
              <w:spacing w:line="256" w:lineRule="auto"/>
              <w:jc w:val="both"/>
            </w:pPr>
            <w:r>
              <w:t>Адміністративна буді</w:t>
            </w:r>
            <w:bookmarkStart w:id="0" w:name="_GoBack"/>
            <w:bookmarkEnd w:id="0"/>
            <w:r>
              <w:t xml:space="preserve">вля, пр. Соборний, 206 – 1 од. </w:t>
            </w:r>
          </w:p>
          <w:p w:rsidR="00E811E5" w:rsidRDefault="00E811E5" w:rsidP="00E811E5">
            <w:pPr>
              <w:widowControl/>
              <w:suppressAutoHyphens/>
              <w:autoSpaceDE/>
              <w:spacing w:line="256" w:lineRule="auto"/>
              <w:jc w:val="both"/>
            </w:pPr>
            <w:r>
              <w:t>Алея слави, Алея трудової слави пр. Соборний – 38 од.</w:t>
            </w:r>
          </w:p>
          <w:p w:rsidR="00E811E5" w:rsidRPr="00E811E5" w:rsidRDefault="00E811E5" w:rsidP="00E811E5">
            <w:pPr>
              <w:widowControl/>
              <w:suppressAutoHyphens/>
              <w:autoSpaceDE/>
              <w:spacing w:line="256" w:lineRule="auto"/>
              <w:jc w:val="both"/>
              <w:rPr>
                <w:b/>
              </w:rPr>
            </w:pPr>
            <w:r w:rsidRPr="00E811E5">
              <w:rPr>
                <w:b/>
              </w:rPr>
              <w:t>Дніпровський район</w:t>
            </w:r>
          </w:p>
          <w:p w:rsidR="00E811E5" w:rsidRDefault="00E811E5" w:rsidP="00E811E5">
            <w:pPr>
              <w:widowControl/>
              <w:suppressAutoHyphens/>
              <w:autoSpaceDE/>
              <w:spacing w:line="256" w:lineRule="auto"/>
              <w:jc w:val="both"/>
            </w:pPr>
            <w:r>
              <w:t xml:space="preserve">Будинок управління «Дніпроенерго», вул. </w:t>
            </w:r>
            <w:proofErr w:type="spellStart"/>
            <w:r>
              <w:t>Плотинна</w:t>
            </w:r>
            <w:proofErr w:type="spellEnd"/>
            <w:r>
              <w:t>, 2</w:t>
            </w:r>
            <w:r w:rsidR="00A63F55">
              <w:t xml:space="preserve"> – </w:t>
            </w:r>
            <w:r>
              <w:t>9</w:t>
            </w:r>
            <w:r w:rsidR="00A63F55">
              <w:t xml:space="preserve"> од.</w:t>
            </w:r>
          </w:p>
          <w:p w:rsidR="00E811E5" w:rsidRDefault="00E811E5" w:rsidP="00E811E5">
            <w:pPr>
              <w:widowControl/>
              <w:suppressAutoHyphens/>
              <w:autoSpaceDE/>
              <w:spacing w:line="256" w:lineRule="auto"/>
              <w:jc w:val="both"/>
            </w:pPr>
            <w:r>
              <w:t>Меморіальний комплекс на честь радянських воїнів, заг</w:t>
            </w:r>
            <w:r w:rsidR="00A63F55">
              <w:t>иблих під час форсування Дніпра,</w:t>
            </w:r>
            <w:r>
              <w:t xml:space="preserve"> </w:t>
            </w:r>
            <w:r>
              <w:tab/>
              <w:t xml:space="preserve">вул. </w:t>
            </w:r>
            <w:proofErr w:type="spellStart"/>
            <w:r>
              <w:t>Плотинна</w:t>
            </w:r>
            <w:proofErr w:type="spellEnd"/>
            <w:r w:rsidR="00A63F55">
              <w:t xml:space="preserve"> – </w:t>
            </w:r>
            <w:r>
              <w:t>3</w:t>
            </w:r>
            <w:r w:rsidR="00A63F55">
              <w:t xml:space="preserve"> од.</w:t>
            </w:r>
          </w:p>
          <w:p w:rsidR="00E811E5" w:rsidRDefault="00E811E5" w:rsidP="00E811E5">
            <w:pPr>
              <w:widowControl/>
              <w:suppressAutoHyphens/>
              <w:autoSpaceDE/>
              <w:spacing w:line="256" w:lineRule="auto"/>
              <w:jc w:val="both"/>
            </w:pPr>
            <w:r>
              <w:t>Кіноконцертний зал ім. М.І. Глінки</w:t>
            </w:r>
            <w:r w:rsidR="00A63F55">
              <w:t xml:space="preserve">, </w:t>
            </w:r>
            <w:r>
              <w:t>пр. Соборний, 183</w:t>
            </w:r>
            <w:r w:rsidR="00A63F55">
              <w:t xml:space="preserve"> – </w:t>
            </w:r>
            <w:r>
              <w:t>71</w:t>
            </w:r>
            <w:r w:rsidR="00A63F55">
              <w:t xml:space="preserve"> од.</w:t>
            </w:r>
          </w:p>
          <w:p w:rsidR="00E811E5" w:rsidRDefault="00E811E5" w:rsidP="00E811E5">
            <w:pPr>
              <w:widowControl/>
              <w:suppressAutoHyphens/>
              <w:autoSpaceDE/>
              <w:spacing w:line="256" w:lineRule="auto"/>
              <w:jc w:val="both"/>
            </w:pPr>
            <w:r>
              <w:t>Палац культури ім. С.М. Кірова</w:t>
            </w:r>
            <w:r w:rsidR="00A63F55">
              <w:t xml:space="preserve">, </w:t>
            </w:r>
            <w:r>
              <w:t>пр. Металургів, 1-а</w:t>
            </w:r>
            <w:r w:rsidR="00A63F55">
              <w:t xml:space="preserve"> – </w:t>
            </w:r>
            <w:r>
              <w:t>1</w:t>
            </w:r>
            <w:r w:rsidR="00A63F55">
              <w:t xml:space="preserve"> од.</w:t>
            </w:r>
          </w:p>
          <w:p w:rsidR="00E811E5" w:rsidRDefault="00A63F55" w:rsidP="00E811E5">
            <w:pPr>
              <w:widowControl/>
              <w:suppressAutoHyphens/>
              <w:autoSpaceDE/>
              <w:spacing w:line="256" w:lineRule="auto"/>
              <w:jc w:val="both"/>
            </w:pPr>
            <w:r>
              <w:t xml:space="preserve">Житловий будинок, </w:t>
            </w:r>
            <w:r w:rsidR="00E811E5">
              <w:t>пр. Металургів, 2/5</w:t>
            </w:r>
            <w:r>
              <w:t xml:space="preserve"> – </w:t>
            </w:r>
            <w:r w:rsidR="00E811E5">
              <w:t>6</w:t>
            </w:r>
            <w:r>
              <w:t xml:space="preserve"> од.</w:t>
            </w:r>
          </w:p>
          <w:p w:rsidR="00E811E5" w:rsidRDefault="00E811E5" w:rsidP="00E811E5">
            <w:pPr>
              <w:widowControl/>
              <w:suppressAutoHyphens/>
              <w:autoSpaceDE/>
              <w:spacing w:line="256" w:lineRule="auto"/>
              <w:jc w:val="both"/>
            </w:pPr>
            <w:r>
              <w:t>Житловий будинок</w:t>
            </w:r>
            <w:r w:rsidR="00A63F55">
              <w:t xml:space="preserve">, </w:t>
            </w:r>
            <w:r>
              <w:t>пр. Металургів, 23</w:t>
            </w:r>
            <w:r w:rsidR="00A63F55">
              <w:t xml:space="preserve"> – </w:t>
            </w:r>
            <w:r>
              <w:t>3</w:t>
            </w:r>
            <w:r w:rsidR="00A63F55">
              <w:t xml:space="preserve"> од.</w:t>
            </w:r>
          </w:p>
          <w:p w:rsidR="00E811E5" w:rsidRDefault="00E811E5" w:rsidP="00E811E5">
            <w:pPr>
              <w:widowControl/>
              <w:suppressAutoHyphens/>
              <w:autoSpaceDE/>
              <w:spacing w:line="256" w:lineRule="auto"/>
              <w:jc w:val="both"/>
            </w:pPr>
            <w:r>
              <w:t>Житловий будинок</w:t>
            </w:r>
            <w:r w:rsidR="00A63F55">
              <w:t xml:space="preserve">, </w:t>
            </w:r>
            <w:r>
              <w:t>пр. Металургів, 25</w:t>
            </w:r>
            <w:r w:rsidR="00A63F55">
              <w:t xml:space="preserve"> – </w:t>
            </w:r>
            <w:r>
              <w:t>2</w:t>
            </w:r>
            <w:r w:rsidR="00A63F55">
              <w:t xml:space="preserve"> од.</w:t>
            </w:r>
          </w:p>
          <w:p w:rsidR="00E811E5" w:rsidRDefault="00E811E5" w:rsidP="00E811E5">
            <w:pPr>
              <w:widowControl/>
              <w:suppressAutoHyphens/>
              <w:autoSpaceDE/>
              <w:spacing w:line="256" w:lineRule="auto"/>
              <w:jc w:val="both"/>
            </w:pPr>
            <w:r>
              <w:t>Житловий будинок</w:t>
            </w:r>
            <w:r w:rsidR="00A63F55">
              <w:t xml:space="preserve">, </w:t>
            </w:r>
            <w:r>
              <w:t xml:space="preserve">вул. Незалежної України, </w:t>
            </w:r>
            <w:r w:rsidR="00A63F55">
              <w:t xml:space="preserve">½ - </w:t>
            </w:r>
            <w:r>
              <w:t>6</w:t>
            </w:r>
            <w:r w:rsidR="00A63F55">
              <w:t xml:space="preserve"> од.</w:t>
            </w:r>
          </w:p>
          <w:p w:rsidR="00E811E5" w:rsidRDefault="004D5726" w:rsidP="00E811E5">
            <w:pPr>
              <w:widowControl/>
              <w:suppressAutoHyphens/>
              <w:autoSpaceDE/>
              <w:spacing w:line="256" w:lineRule="auto"/>
              <w:jc w:val="both"/>
            </w:pPr>
            <w:r>
              <w:t>Житловий б</w:t>
            </w:r>
            <w:r w:rsidR="00A63F55">
              <w:t xml:space="preserve">удинок, пр. Соборний, 218 – </w:t>
            </w:r>
            <w:r w:rsidR="00E811E5">
              <w:t>7</w:t>
            </w:r>
            <w:r w:rsidR="00A63F55">
              <w:t xml:space="preserve"> од.</w:t>
            </w:r>
          </w:p>
          <w:p w:rsidR="00E811E5" w:rsidRDefault="004D5726" w:rsidP="00E811E5">
            <w:pPr>
              <w:widowControl/>
              <w:suppressAutoHyphens/>
              <w:autoSpaceDE/>
              <w:spacing w:line="256" w:lineRule="auto"/>
              <w:jc w:val="both"/>
            </w:pPr>
            <w:r>
              <w:t>Житловий б</w:t>
            </w:r>
            <w:r w:rsidR="00A63F55">
              <w:t xml:space="preserve">удинок, пр. Соборний, 216 – </w:t>
            </w:r>
            <w:r w:rsidR="00E811E5">
              <w:t>2</w:t>
            </w:r>
            <w:r w:rsidR="00A63F55">
              <w:t xml:space="preserve"> од.</w:t>
            </w:r>
          </w:p>
          <w:p w:rsidR="00E811E5" w:rsidRDefault="004D5726" w:rsidP="00E811E5">
            <w:pPr>
              <w:widowControl/>
              <w:suppressAutoHyphens/>
              <w:autoSpaceDE/>
              <w:spacing w:line="256" w:lineRule="auto"/>
              <w:jc w:val="both"/>
            </w:pPr>
            <w:r>
              <w:lastRenderedPageBreak/>
              <w:t>Житловий б</w:t>
            </w:r>
            <w:r w:rsidR="00A63F55">
              <w:t xml:space="preserve">удинок, пр. Соборний, 175 – </w:t>
            </w:r>
            <w:r w:rsidR="00E811E5">
              <w:t>5</w:t>
            </w:r>
            <w:r w:rsidR="00A63F55">
              <w:t xml:space="preserve"> од.</w:t>
            </w:r>
          </w:p>
          <w:p w:rsidR="00E811E5" w:rsidRDefault="004D5726" w:rsidP="00E811E5">
            <w:pPr>
              <w:widowControl/>
              <w:suppressAutoHyphens/>
              <w:autoSpaceDE/>
              <w:spacing w:line="256" w:lineRule="auto"/>
              <w:jc w:val="both"/>
            </w:pPr>
            <w:r>
              <w:t>Житловий б</w:t>
            </w:r>
            <w:r w:rsidR="00A63F55">
              <w:t xml:space="preserve">удинок, </w:t>
            </w:r>
            <w:r w:rsidR="00E811E5">
              <w:t>пр. Соборний, 179</w:t>
            </w:r>
            <w:r w:rsidR="00A63F55">
              <w:t xml:space="preserve"> – </w:t>
            </w:r>
            <w:r w:rsidR="00E811E5">
              <w:t>3</w:t>
            </w:r>
            <w:r w:rsidR="00A63F55">
              <w:t xml:space="preserve"> од.</w:t>
            </w:r>
          </w:p>
          <w:p w:rsidR="00E811E5" w:rsidRDefault="004D5726" w:rsidP="00E811E5">
            <w:pPr>
              <w:widowControl/>
              <w:suppressAutoHyphens/>
              <w:autoSpaceDE/>
              <w:spacing w:line="256" w:lineRule="auto"/>
              <w:jc w:val="both"/>
            </w:pPr>
            <w:r>
              <w:t>Житловий б</w:t>
            </w:r>
            <w:r w:rsidR="00A63F55">
              <w:t xml:space="preserve">удинок, </w:t>
            </w:r>
            <w:r w:rsidR="00E811E5">
              <w:t>пр. Соборний, 181</w:t>
            </w:r>
            <w:r w:rsidR="00A63F55">
              <w:t xml:space="preserve"> – </w:t>
            </w:r>
            <w:r w:rsidR="00E811E5">
              <w:t>3</w:t>
            </w:r>
            <w:r w:rsidR="00A63F55">
              <w:t xml:space="preserve"> од.</w:t>
            </w:r>
          </w:p>
          <w:p w:rsidR="00E811E5" w:rsidRDefault="00A63F55" w:rsidP="00E811E5">
            <w:pPr>
              <w:widowControl/>
              <w:suppressAutoHyphens/>
              <w:autoSpaceDE/>
              <w:spacing w:line="256" w:lineRule="auto"/>
              <w:jc w:val="both"/>
            </w:pPr>
            <w:r>
              <w:t>Житловий б</w:t>
            </w:r>
            <w:r w:rsidR="00E811E5">
              <w:t>удинок</w:t>
            </w:r>
            <w:r>
              <w:t xml:space="preserve">, </w:t>
            </w:r>
            <w:r w:rsidR="00E811E5">
              <w:t>пр. Соборний, 191</w:t>
            </w:r>
            <w:r>
              <w:t xml:space="preserve"> – </w:t>
            </w:r>
            <w:r w:rsidR="00E811E5">
              <w:t>1</w:t>
            </w:r>
            <w:r>
              <w:t xml:space="preserve"> од.</w:t>
            </w:r>
          </w:p>
          <w:p w:rsidR="00E811E5" w:rsidRDefault="00A63F55" w:rsidP="00E811E5">
            <w:pPr>
              <w:widowControl/>
              <w:suppressAutoHyphens/>
              <w:autoSpaceDE/>
              <w:spacing w:line="256" w:lineRule="auto"/>
              <w:jc w:val="both"/>
            </w:pPr>
            <w:r>
              <w:t>Житловий б</w:t>
            </w:r>
            <w:r w:rsidR="00E811E5">
              <w:t>удинок</w:t>
            </w:r>
            <w:r>
              <w:t xml:space="preserve">, </w:t>
            </w:r>
            <w:r w:rsidR="00E811E5">
              <w:t>пр. Соборний, 234</w:t>
            </w:r>
            <w:r>
              <w:t xml:space="preserve"> – </w:t>
            </w:r>
            <w:r w:rsidR="00E811E5">
              <w:t>1</w:t>
            </w:r>
            <w:r>
              <w:t xml:space="preserve"> од.</w:t>
            </w:r>
          </w:p>
          <w:p w:rsidR="00E811E5" w:rsidRPr="00A63F55" w:rsidRDefault="00E811E5" w:rsidP="00E811E5">
            <w:pPr>
              <w:widowControl/>
              <w:suppressAutoHyphens/>
              <w:autoSpaceDE/>
              <w:spacing w:line="256" w:lineRule="auto"/>
              <w:jc w:val="both"/>
              <w:rPr>
                <w:b/>
              </w:rPr>
            </w:pPr>
            <w:r w:rsidRPr="00A63F55">
              <w:rPr>
                <w:b/>
              </w:rPr>
              <w:t>Заводський район</w:t>
            </w:r>
          </w:p>
          <w:p w:rsidR="00DC15AF" w:rsidRDefault="00E811E5" w:rsidP="00E811E5">
            <w:pPr>
              <w:widowControl/>
              <w:suppressAutoHyphens/>
              <w:autoSpaceDE/>
              <w:spacing w:line="256" w:lineRule="auto"/>
              <w:jc w:val="both"/>
            </w:pPr>
            <w:r>
              <w:t xml:space="preserve">Стелла біля прохідної </w:t>
            </w:r>
            <w:proofErr w:type="spellStart"/>
            <w:r>
              <w:t>ПРаТ</w:t>
            </w:r>
            <w:proofErr w:type="spellEnd"/>
            <w:r>
              <w:t xml:space="preserve"> «</w:t>
            </w:r>
            <w:proofErr w:type="spellStart"/>
            <w:r>
              <w:t>Запоріжвогретрив</w:t>
            </w:r>
            <w:proofErr w:type="spellEnd"/>
            <w:r>
              <w:t>»</w:t>
            </w:r>
            <w:r w:rsidR="00A63F55">
              <w:t xml:space="preserve">, </w:t>
            </w:r>
            <w:r>
              <w:t>вул. Північне шосе, / вул. Теплична, д.22 “б” / 1</w:t>
            </w:r>
            <w:r w:rsidR="00A63F55">
              <w:t xml:space="preserve"> – </w:t>
            </w:r>
            <w:r>
              <w:t>1</w:t>
            </w:r>
            <w:r w:rsidR="00A63F55">
              <w:t xml:space="preserve"> од.</w:t>
            </w:r>
            <w:r>
              <w:tab/>
            </w:r>
            <w:r>
              <w:tab/>
            </w:r>
          </w:p>
        </w:tc>
      </w:tr>
      <w:tr w:rsidR="00EB5D0F" w:rsidRPr="009E27D0" w:rsidTr="00313EFC">
        <w:trPr>
          <w:trHeight w:val="255"/>
        </w:trPr>
        <w:tc>
          <w:tcPr>
            <w:tcW w:w="568" w:type="dxa"/>
            <w:tcBorders>
              <w:top w:val="single" w:sz="4" w:space="0" w:color="000000"/>
              <w:left w:val="single" w:sz="4" w:space="0" w:color="000000"/>
              <w:bottom w:val="single" w:sz="4" w:space="0" w:color="000000"/>
              <w:right w:val="nil"/>
            </w:tcBorders>
            <w:hideMark/>
          </w:tcPr>
          <w:p w:rsidR="00EB5D0F" w:rsidRPr="009E27D0" w:rsidRDefault="00EB5D0F" w:rsidP="00313EFC">
            <w:pPr>
              <w:spacing w:line="256" w:lineRule="auto"/>
              <w:jc w:val="both"/>
            </w:pPr>
          </w:p>
        </w:tc>
        <w:tc>
          <w:tcPr>
            <w:tcW w:w="3829" w:type="dxa"/>
            <w:tcBorders>
              <w:top w:val="single" w:sz="4" w:space="0" w:color="000000"/>
              <w:left w:val="single" w:sz="4" w:space="0" w:color="000000"/>
              <w:bottom w:val="single" w:sz="4" w:space="0" w:color="000000"/>
              <w:right w:val="nil"/>
            </w:tcBorders>
            <w:hideMark/>
          </w:tcPr>
          <w:p w:rsidR="00EB5D0F" w:rsidRPr="009E27D0" w:rsidRDefault="00EB5D0F">
            <w:pPr>
              <w:spacing w:line="256" w:lineRule="auto"/>
            </w:pPr>
          </w:p>
        </w:tc>
        <w:tc>
          <w:tcPr>
            <w:tcW w:w="5248" w:type="dxa"/>
            <w:tcBorders>
              <w:top w:val="single" w:sz="4" w:space="0" w:color="000000"/>
              <w:left w:val="single" w:sz="4" w:space="0" w:color="000000"/>
              <w:bottom w:val="single" w:sz="4" w:space="0" w:color="000000"/>
              <w:right w:val="single" w:sz="4" w:space="0" w:color="000000"/>
            </w:tcBorders>
            <w:hideMark/>
          </w:tcPr>
          <w:p w:rsidR="00EB5D0F" w:rsidRPr="009E27D0" w:rsidRDefault="00EB5D0F" w:rsidP="00A13401">
            <w:pPr>
              <w:spacing w:line="256" w:lineRule="auto"/>
              <w:ind w:left="34" w:right="57"/>
              <w:jc w:val="both"/>
            </w:pPr>
          </w:p>
        </w:tc>
      </w:tr>
    </w:tbl>
    <w:p w:rsidR="00237878" w:rsidRPr="009E27D0" w:rsidRDefault="00237878" w:rsidP="00313EFC">
      <w:pPr>
        <w:shd w:val="clear" w:color="auto" w:fill="FFFFFF"/>
        <w:suppressAutoHyphens/>
        <w:autoSpaceDE/>
        <w:spacing w:after="120"/>
        <w:ind w:left="1210" w:right="141"/>
        <w:jc w:val="both"/>
      </w:pPr>
    </w:p>
    <w:sectPr w:rsidR="00237878" w:rsidRPr="009E27D0" w:rsidSect="00C22C9A">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lang w:val="uk-UA"/>
      </w:rPr>
    </w:lvl>
  </w:abstractNum>
  <w:abstractNum w:abstractNumId="1" w15:restartNumberingAfterBreak="0">
    <w:nsid w:val="4AF5513A"/>
    <w:multiLevelType w:val="multilevel"/>
    <w:tmpl w:val="77F4382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1F"/>
    <w:rsid w:val="00000E78"/>
    <w:rsid w:val="00094652"/>
    <w:rsid w:val="001A2DF2"/>
    <w:rsid w:val="00204783"/>
    <w:rsid w:val="00237878"/>
    <w:rsid w:val="002573CD"/>
    <w:rsid w:val="0026501F"/>
    <w:rsid w:val="00313EFC"/>
    <w:rsid w:val="004111C2"/>
    <w:rsid w:val="00431D71"/>
    <w:rsid w:val="00484AD6"/>
    <w:rsid w:val="004D5726"/>
    <w:rsid w:val="00502C88"/>
    <w:rsid w:val="005909E4"/>
    <w:rsid w:val="00684F1D"/>
    <w:rsid w:val="006B2CD5"/>
    <w:rsid w:val="006D0DBB"/>
    <w:rsid w:val="00784665"/>
    <w:rsid w:val="007D500C"/>
    <w:rsid w:val="007F7C44"/>
    <w:rsid w:val="008A7174"/>
    <w:rsid w:val="008C498E"/>
    <w:rsid w:val="00945C8E"/>
    <w:rsid w:val="009E27D0"/>
    <w:rsid w:val="00A13401"/>
    <w:rsid w:val="00A63F55"/>
    <w:rsid w:val="00AB2299"/>
    <w:rsid w:val="00B12CA6"/>
    <w:rsid w:val="00BE08E6"/>
    <w:rsid w:val="00C22C9A"/>
    <w:rsid w:val="00C9082A"/>
    <w:rsid w:val="00C93069"/>
    <w:rsid w:val="00CB2809"/>
    <w:rsid w:val="00CD266C"/>
    <w:rsid w:val="00D61B76"/>
    <w:rsid w:val="00DC15AF"/>
    <w:rsid w:val="00E02739"/>
    <w:rsid w:val="00E811E5"/>
    <w:rsid w:val="00EB5D0F"/>
    <w:rsid w:val="00ED6303"/>
    <w:rsid w:val="00EF2E9A"/>
    <w:rsid w:val="00F70193"/>
    <w:rsid w:val="00F85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B4EF6-150A-44BB-8421-14A94429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2C9A"/>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22C9A"/>
    <w:rPr>
      <w:color w:val="0000FF"/>
      <w:u w:val="single"/>
    </w:rPr>
  </w:style>
  <w:style w:type="character" w:customStyle="1" w:styleId="a4">
    <w:name w:val="Звичайни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17 Знак,Знак18 Знак Знак,Знак17 Знак1 Знак,Знак17 Знак, Знак18 Знак Знак"/>
    <w:link w:val="a5"/>
    <w:uiPriority w:val="99"/>
    <w:locked/>
    <w:rsid w:val="00C22C9A"/>
    <w:rPr>
      <w:sz w:val="24"/>
      <w:lang w:val="uk-UA" w:eastAsia="uk-UA"/>
    </w:rPr>
  </w:style>
  <w:style w:type="paragraph" w:styleId="a5">
    <w:name w:val="Normal (Web)"/>
    <w:aliases w:val="Знак2,Обычный (веб) Знак Знак Знак Знак Знак Знак Знак Знак Знак Знак,Обычный (веб) Знак Знак Знак Знак Знак Знак Знак Знак Знак, Знак17,Знак18 Знак,Знак17 Знак1,Знак17, Знак18 Знак, Знак17 Знак1,Обычный (веб) Знак Знак,Знак18 Зна"/>
    <w:basedOn w:val="a"/>
    <w:link w:val="a4"/>
    <w:uiPriority w:val="99"/>
    <w:unhideWhenUsed/>
    <w:qFormat/>
    <w:rsid w:val="00C22C9A"/>
    <w:pPr>
      <w:ind w:left="352" w:firstLine="708"/>
      <w:jc w:val="both"/>
    </w:pPr>
    <w:rPr>
      <w:rFonts w:asciiTheme="minorHAnsi" w:eastAsiaTheme="minorHAnsi" w:hAnsiTheme="minorHAnsi" w:cstheme="minorBidi"/>
      <w:sz w:val="24"/>
      <w:lang w:eastAsia="uk-UA"/>
    </w:rPr>
  </w:style>
  <w:style w:type="paragraph" w:styleId="a6">
    <w:name w:val="Balloon Text"/>
    <w:basedOn w:val="a"/>
    <w:link w:val="a7"/>
    <w:uiPriority w:val="99"/>
    <w:semiHidden/>
    <w:unhideWhenUsed/>
    <w:rsid w:val="00B12CA6"/>
    <w:rPr>
      <w:rFonts w:ascii="Arial" w:hAnsi="Arial" w:cs="Arial"/>
      <w:sz w:val="18"/>
      <w:szCs w:val="18"/>
    </w:rPr>
  </w:style>
  <w:style w:type="character" w:customStyle="1" w:styleId="a7">
    <w:name w:val="Текст у виносці Знак"/>
    <w:basedOn w:val="a0"/>
    <w:link w:val="a6"/>
    <w:uiPriority w:val="99"/>
    <w:semiHidden/>
    <w:rsid w:val="00B12CA6"/>
    <w:rPr>
      <w:rFonts w:ascii="Arial" w:eastAsia="Times New Roman" w:hAnsi="Arial" w:cs="Arial"/>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1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zakupki.prom.ua/cabinet/purchases/state_plan/view/81914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4AC2-1CA0-4370-8837-0E532538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384</Words>
  <Characters>2192</Characters>
  <Application>Microsoft Office Word</Application>
  <DocSecurity>0</DocSecurity>
  <Lines>18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 Домашев</cp:lastModifiedBy>
  <cp:revision>42</cp:revision>
  <cp:lastPrinted>2020-02-10T12:28:00Z</cp:lastPrinted>
  <dcterms:created xsi:type="dcterms:W3CDTF">2020-02-06T15:41:00Z</dcterms:created>
  <dcterms:modified xsi:type="dcterms:W3CDTF">2023-03-31T12:29:00Z</dcterms:modified>
</cp:coreProperties>
</file>