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D3" w:rsidRPr="00A31AA0" w:rsidRDefault="006C17D3" w:rsidP="006C17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A31AA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A31AA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31AA0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31AA0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C17D3" w:rsidRPr="00A31AA0" w:rsidRDefault="006C17D3" w:rsidP="006C17D3">
      <w:pPr>
        <w:jc w:val="center"/>
        <w:rPr>
          <w:rFonts w:eastAsia="Calibri"/>
          <w:b/>
          <w:lang w:val="uk-UA"/>
        </w:rPr>
      </w:pPr>
      <w:r w:rsidRPr="00A31AA0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6C17D3" w:rsidRPr="00A31AA0" w:rsidRDefault="006C17D3" w:rsidP="006C17D3">
      <w:pPr>
        <w:jc w:val="center"/>
        <w:rPr>
          <w:b/>
          <w:lang w:val="uk-UA"/>
        </w:rPr>
      </w:pPr>
      <w:r w:rsidRPr="00A31AA0">
        <w:rPr>
          <w:rFonts w:eastAsia="Calibri"/>
          <w:b/>
          <w:lang w:val="uk-UA"/>
        </w:rPr>
        <w:t>ДО ПРЕДМЕТА ЗАКУПІВЛІ</w:t>
      </w:r>
    </w:p>
    <w:p w:rsidR="006C17D3" w:rsidRPr="00A31AA0" w:rsidRDefault="006C17D3" w:rsidP="006C17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31AA0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6C17D3" w:rsidRPr="00A31AA0" w:rsidRDefault="006C17D3" w:rsidP="006C17D3">
      <w:pPr>
        <w:ind w:left="-142" w:right="-142"/>
        <w:jc w:val="center"/>
        <w:rPr>
          <w:b/>
          <w:sz w:val="28"/>
          <w:szCs w:val="28"/>
          <w:lang w:val="uk-UA"/>
        </w:rPr>
      </w:pPr>
      <w:r w:rsidRPr="00A31AA0">
        <w:rPr>
          <w:b/>
          <w:lang w:val="uk-UA"/>
        </w:rPr>
        <w:t>«Код за ДК 021:2015 – 7132 (71320000-7) послуги з інженерного проектування (розробка технічного завдання та робочого проєкту «Встановлення Автоматизованої системи комерційного обліку електроенергії (АСКОЕ) Запорізького комунального підприємства міського електротранспорту «Запоріжелектротранс»)</w:t>
      </w:r>
      <w:r w:rsidRPr="00A31AA0">
        <w:rPr>
          <w:b/>
          <w:sz w:val="28"/>
          <w:szCs w:val="28"/>
          <w:lang w:val="uk-UA"/>
        </w:rPr>
        <w:t>»</w:t>
      </w:r>
    </w:p>
    <w:p w:rsidR="006C17D3" w:rsidRDefault="006C17D3" w:rsidP="006C17D3">
      <w:pPr>
        <w:jc w:val="center"/>
        <w:rPr>
          <w:rFonts w:eastAsia="Calibri"/>
          <w:b/>
          <w:spacing w:val="-3"/>
          <w:sz w:val="28"/>
          <w:szCs w:val="28"/>
          <w:lang w:val="uk-UA" w:eastAsia="en-US"/>
        </w:rPr>
      </w:pPr>
    </w:p>
    <w:p w:rsidR="006C17D3" w:rsidRPr="006D2457" w:rsidRDefault="006C17D3" w:rsidP="006C17D3">
      <w:pPr>
        <w:jc w:val="center"/>
        <w:rPr>
          <w:rFonts w:eastAsia="Calibri"/>
          <w:b/>
          <w:spacing w:val="-3"/>
          <w:sz w:val="28"/>
          <w:szCs w:val="28"/>
          <w:lang w:eastAsia="en-US"/>
        </w:rPr>
      </w:pPr>
      <w:r w:rsidRPr="006D2457">
        <w:rPr>
          <w:rFonts w:eastAsia="Calibri"/>
          <w:b/>
          <w:spacing w:val="-3"/>
          <w:sz w:val="28"/>
          <w:szCs w:val="28"/>
          <w:lang w:eastAsia="en-US"/>
        </w:rPr>
        <w:t>ЗАВДАННЯ НА ПРОЄКТУВАННЯ</w:t>
      </w:r>
    </w:p>
    <w:p w:rsidR="006C17D3" w:rsidRPr="00B21BCF" w:rsidRDefault="006C17D3" w:rsidP="006C17D3">
      <w:pPr>
        <w:jc w:val="center"/>
        <w:rPr>
          <w:color w:val="FF0000"/>
        </w:rPr>
      </w:pPr>
      <w:r w:rsidRPr="00B21BCF">
        <w:t>об’єкта (стадія «Робочий проект»)</w:t>
      </w:r>
    </w:p>
    <w:p w:rsidR="006C17D3" w:rsidRPr="00B21BCF" w:rsidRDefault="006C17D3" w:rsidP="006C17D3">
      <w:pPr>
        <w:jc w:val="center"/>
        <w:rPr>
          <w:b/>
          <w:color w:val="FF0000"/>
        </w:rPr>
      </w:pPr>
    </w:p>
    <w:p w:rsidR="006C17D3" w:rsidRDefault="006C17D3" w:rsidP="006C17D3">
      <w:pPr>
        <w:jc w:val="center"/>
        <w:rPr>
          <w:b/>
          <w:kern w:val="24"/>
        </w:rPr>
      </w:pPr>
      <w:r>
        <w:rPr>
          <w:b/>
          <w:kern w:val="24"/>
        </w:rPr>
        <w:t>А</w:t>
      </w:r>
      <w:r w:rsidRPr="00F73CAD">
        <w:rPr>
          <w:b/>
          <w:kern w:val="24"/>
        </w:rPr>
        <w:t xml:space="preserve">втоматизованої системи комерційного </w:t>
      </w:r>
      <w:proofErr w:type="gramStart"/>
      <w:r w:rsidRPr="00F73CAD">
        <w:rPr>
          <w:b/>
          <w:kern w:val="24"/>
        </w:rPr>
        <w:t>обл</w:t>
      </w:r>
      <w:proofErr w:type="gramEnd"/>
      <w:r w:rsidRPr="00F73CAD">
        <w:rPr>
          <w:b/>
          <w:kern w:val="24"/>
        </w:rPr>
        <w:t xml:space="preserve">іку електроенергії (АСКОЕ) </w:t>
      </w:r>
      <w:r>
        <w:rPr>
          <w:b/>
          <w:kern w:val="24"/>
        </w:rPr>
        <w:t>Підприємства «ЗАПОРІЖЕЛЕКТРОТРАНС»</w:t>
      </w:r>
    </w:p>
    <w:p w:rsidR="006C17D3" w:rsidRPr="00B21BCF" w:rsidRDefault="006C17D3" w:rsidP="006C17D3">
      <w:pPr>
        <w:jc w:val="center"/>
        <w:rPr>
          <w:b/>
        </w:rPr>
      </w:pPr>
    </w:p>
    <w:tbl>
      <w:tblPr>
        <w:tblW w:w="104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787"/>
        <w:gridCol w:w="7076"/>
      </w:tblGrid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33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Назва та </w:t>
            </w:r>
            <w:proofErr w:type="gramStart"/>
            <w:r w:rsidRPr="00B22551">
              <w:rPr>
                <w:b/>
                <w:sz w:val="20"/>
                <w:szCs w:val="20"/>
              </w:rPr>
              <w:t>м</w:t>
            </w:r>
            <w:proofErr w:type="gramEnd"/>
            <w:r w:rsidRPr="00B22551">
              <w:rPr>
                <w:b/>
                <w:sz w:val="20"/>
                <w:szCs w:val="20"/>
              </w:rPr>
              <w:t>ісцезнаходження об’єкта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22551">
              <w:rPr>
                <w:sz w:val="20"/>
                <w:szCs w:val="20"/>
              </w:rPr>
              <w:t>втоматизован</w:t>
            </w:r>
            <w:r>
              <w:rPr>
                <w:sz w:val="20"/>
                <w:szCs w:val="20"/>
              </w:rPr>
              <w:t xml:space="preserve">а </w:t>
            </w:r>
            <w:r w:rsidRPr="00B22551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B22551">
              <w:rPr>
                <w:sz w:val="20"/>
                <w:szCs w:val="20"/>
              </w:rPr>
              <w:t xml:space="preserve"> комерційного </w:t>
            </w:r>
            <w:proofErr w:type="gramStart"/>
            <w:r w:rsidRPr="00B22551">
              <w:rPr>
                <w:sz w:val="20"/>
                <w:szCs w:val="20"/>
              </w:rPr>
              <w:t>обл</w:t>
            </w:r>
            <w:proofErr w:type="gramEnd"/>
            <w:r w:rsidRPr="00B22551">
              <w:rPr>
                <w:sz w:val="20"/>
                <w:szCs w:val="20"/>
              </w:rPr>
              <w:t xml:space="preserve">іку електроенергії (АСКОЕ) </w:t>
            </w:r>
            <w:r>
              <w:rPr>
                <w:sz w:val="20"/>
                <w:szCs w:val="20"/>
              </w:rPr>
              <w:t>Запорізького комунального підприємства міського електротранспорту</w:t>
            </w:r>
            <w:r w:rsidRPr="00B2255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ЗАПОРІЖЕЛЕКТРОТРАНС»</w:t>
            </w:r>
            <w:r w:rsidRPr="00B22551">
              <w:rPr>
                <w:sz w:val="20"/>
                <w:szCs w:val="20"/>
              </w:rPr>
              <w:t xml:space="preserve">, м. </w:t>
            </w:r>
            <w:r>
              <w:rPr>
                <w:sz w:val="20"/>
                <w:szCs w:val="20"/>
              </w:rPr>
              <w:t>Запоріжжя</w:t>
            </w:r>
            <w:r w:rsidRPr="00B22551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Шкільна</w:t>
            </w:r>
            <w:r w:rsidRPr="00B225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B22551">
              <w:rPr>
                <w:sz w:val="20"/>
                <w:szCs w:val="20"/>
              </w:rPr>
              <w:t>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proofErr w:type="gramStart"/>
            <w:r w:rsidRPr="00B22551">
              <w:rPr>
                <w:b/>
                <w:sz w:val="20"/>
                <w:szCs w:val="20"/>
              </w:rPr>
              <w:t>П</w:t>
            </w:r>
            <w:proofErr w:type="gramEnd"/>
            <w:r w:rsidRPr="00B22551">
              <w:rPr>
                <w:b/>
                <w:sz w:val="20"/>
                <w:szCs w:val="20"/>
              </w:rPr>
              <w:t xml:space="preserve">ідстава для проектування 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2551">
              <w:rPr>
                <w:sz w:val="20"/>
                <w:szCs w:val="20"/>
              </w:rPr>
              <w:t>еалізаці</w:t>
            </w:r>
            <w:r>
              <w:rPr>
                <w:sz w:val="20"/>
                <w:szCs w:val="20"/>
              </w:rPr>
              <w:t>я</w:t>
            </w:r>
            <w:r w:rsidRPr="00B22551">
              <w:rPr>
                <w:sz w:val="20"/>
                <w:szCs w:val="20"/>
              </w:rPr>
              <w:t xml:space="preserve"> Інвестиційної програми  у межах фінансового плану</w:t>
            </w:r>
            <w:r>
              <w:rPr>
                <w:sz w:val="20"/>
                <w:szCs w:val="20"/>
              </w:rPr>
              <w:t xml:space="preserve"> на 2024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r w:rsidRPr="00B22551">
              <w:rPr>
                <w:sz w:val="20"/>
                <w:szCs w:val="20"/>
              </w:rPr>
              <w:t>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pacing w:val="-10"/>
                <w:sz w:val="20"/>
                <w:szCs w:val="20"/>
              </w:rPr>
              <w:t>3.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Вид будівництва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Реконструкція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Дані про замовника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6C17D3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ЗАПОРІЗЬКЕ КОМУНАЛЬНЕ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ІДПРИЄМСТВО МІСЬКОГО ЕЛЕКТРОТРАНСПОРТУ «ЗАПОРІЖЕЛЕКТРОТРАНС» </w:t>
            </w:r>
          </w:p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ідприємство «ЗАПОРІЖЕЛЕКТРОТРАНС»)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Джерело фінансування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Власні кошти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ідприємства «ЗАПОРІЖЕЛЕКТРОТРАНС»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Дані про генерального проектувальника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Визначити на </w:t>
            </w:r>
            <w:proofErr w:type="gramStart"/>
            <w:r w:rsidRPr="00B22551">
              <w:rPr>
                <w:sz w:val="20"/>
                <w:szCs w:val="20"/>
              </w:rPr>
              <w:t>п</w:t>
            </w:r>
            <w:proofErr w:type="gramEnd"/>
            <w:r w:rsidRPr="00B22551">
              <w:rPr>
                <w:sz w:val="20"/>
                <w:szCs w:val="20"/>
              </w:rPr>
              <w:t>ідставі Закону України «Про публічні закупівлі».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Стадійність проектування</w:t>
            </w:r>
          </w:p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 з визначенням затверджуваної стадії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 одну стадію: робочий проект (РП).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Дані про інженерні вишукування</w:t>
            </w:r>
          </w:p>
        </w:tc>
        <w:tc>
          <w:tcPr>
            <w:tcW w:w="7076" w:type="dxa"/>
            <w:shd w:val="clear" w:color="auto" w:fill="FFFFFF"/>
          </w:tcPr>
          <w:p w:rsidR="006C17D3" w:rsidRPr="001D08D8" w:rsidRDefault="006C17D3" w:rsidP="00E36E8D">
            <w:pPr>
              <w:pStyle w:val="a3"/>
              <w:tabs>
                <w:tab w:val="left" w:pos="709"/>
                <w:tab w:val="left" w:pos="851"/>
                <w:tab w:val="left" w:pos="1418"/>
              </w:tabs>
              <w:ind w:left="0" w:right="107"/>
              <w:jc w:val="both"/>
              <w:rPr>
                <w:kern w:val="24"/>
                <w:sz w:val="20"/>
                <w:lang w:val="ru-RU" w:eastAsia="ar-SA"/>
              </w:rPr>
            </w:pPr>
            <w:proofErr w:type="gramStart"/>
            <w:r w:rsidRPr="001D08D8">
              <w:rPr>
                <w:sz w:val="20"/>
                <w:shd w:val="clear" w:color="auto" w:fill="FFFFFF"/>
                <w:lang w:val="ru-RU" w:eastAsia="ru-RU"/>
              </w:rPr>
              <w:t>П</w:t>
            </w:r>
            <w:proofErr w:type="gramEnd"/>
            <w:r w:rsidRPr="001D08D8">
              <w:rPr>
                <w:sz w:val="20"/>
                <w:shd w:val="clear" w:color="auto" w:fill="FFFFFF"/>
                <w:lang w:val="ru-RU" w:eastAsia="ru-RU"/>
              </w:rPr>
              <w:t>ідрядник</w:t>
            </w:r>
            <w:r w:rsidRPr="001D08D8">
              <w:rPr>
                <w:kern w:val="24"/>
                <w:sz w:val="20"/>
                <w:lang w:val="ru-RU" w:eastAsia="ar-SA"/>
              </w:rPr>
              <w:t xml:space="preserve"> виконує обстеження в наступним обсягах: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567"/>
                <w:tab w:val="left" w:pos="851"/>
                <w:tab w:val="left" w:pos="1418"/>
              </w:tabs>
              <w:suppressAutoHyphens/>
              <w:ind w:left="0" w:right="107" w:firstLine="0"/>
              <w:contextualSpacing/>
              <w:jc w:val="both"/>
              <w:rPr>
                <w:color w:val="FF0000"/>
                <w:kern w:val="24"/>
                <w:sz w:val="20"/>
                <w:lang w:val="ru-RU" w:eastAsia="ar-SA"/>
              </w:rPr>
            </w:pPr>
            <w:r w:rsidRPr="001D08D8">
              <w:rPr>
                <w:kern w:val="24"/>
                <w:sz w:val="20"/>
                <w:lang w:val="ru-RU" w:eastAsia="ar-SA"/>
              </w:rPr>
              <w:t xml:space="preserve">обстежити </w:t>
            </w:r>
            <w:proofErr w:type="gramStart"/>
            <w:r w:rsidRPr="001D08D8">
              <w:rPr>
                <w:kern w:val="24"/>
                <w:sz w:val="20"/>
                <w:lang w:val="ru-RU" w:eastAsia="ar-SA"/>
              </w:rPr>
              <w:t>вс</w:t>
            </w:r>
            <w:proofErr w:type="gramEnd"/>
            <w:r w:rsidRPr="001D08D8">
              <w:rPr>
                <w:kern w:val="24"/>
                <w:sz w:val="20"/>
                <w:lang w:val="ru-RU" w:eastAsia="ar-SA"/>
              </w:rPr>
              <w:t xml:space="preserve">і вузли обліку, автоматизація обліку яких вимагається згідно потреб роботи </w:t>
            </w:r>
            <w:r w:rsidRPr="001D08D8">
              <w:rPr>
                <w:sz w:val="20"/>
                <w:szCs w:val="20"/>
                <w:lang w:val="ru-RU" w:eastAsia="ru-RU"/>
              </w:rPr>
              <w:t xml:space="preserve">Підприємства «ЗАПОРІЖЕЛЕКТРОТРАНС» </w:t>
            </w:r>
            <w:r w:rsidRPr="001D08D8">
              <w:rPr>
                <w:kern w:val="24"/>
                <w:sz w:val="20"/>
                <w:lang w:val="ru-RU" w:eastAsia="ar-SA"/>
              </w:rPr>
              <w:t>на роздрібному ринку електроенергії та згідно вимог.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Основні характеристики  об’єкта будівництва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Впровадження </w:t>
            </w:r>
            <w:r w:rsidRPr="00B22551">
              <w:rPr>
                <w:sz w:val="20"/>
                <w:szCs w:val="20"/>
              </w:rPr>
              <w:t xml:space="preserve">автоматизованої системи комерційного </w:t>
            </w:r>
            <w:proofErr w:type="gramStart"/>
            <w:r w:rsidRPr="00B22551">
              <w:rPr>
                <w:sz w:val="20"/>
                <w:szCs w:val="20"/>
              </w:rPr>
              <w:t>обл</w:t>
            </w:r>
            <w:proofErr w:type="gramEnd"/>
            <w:r w:rsidRPr="00B22551">
              <w:rPr>
                <w:sz w:val="20"/>
                <w:szCs w:val="20"/>
              </w:rPr>
              <w:t xml:space="preserve">іку електроенергії (АСКОЕ) </w:t>
            </w:r>
            <w:r>
              <w:rPr>
                <w:sz w:val="20"/>
                <w:szCs w:val="20"/>
              </w:rPr>
              <w:t>Підприємства «ЗАПОРІЖЕЛЕКТРОТРАНС»</w:t>
            </w:r>
            <w:r w:rsidRPr="00B22551">
              <w:rPr>
                <w:sz w:val="20"/>
                <w:szCs w:val="20"/>
              </w:rPr>
              <w:t>, з наступними характеристиками:</w:t>
            </w:r>
          </w:p>
          <w:p w:rsidR="006C17D3" w:rsidRPr="00B22551" w:rsidRDefault="006C17D3" w:rsidP="00E36E8D">
            <w:pPr>
              <w:tabs>
                <w:tab w:val="left" w:pos="510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9.1. Збільшення точності вимірювань обсягів 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 xml:space="preserve">ідпущеної/спожитої потужності на приєднаннях </w:t>
            </w:r>
            <w:r>
              <w:rPr>
                <w:sz w:val="20"/>
                <w:szCs w:val="20"/>
              </w:rPr>
              <w:t>0,4/</w:t>
            </w:r>
            <w:r w:rsidRPr="00B22551">
              <w:rPr>
                <w:sz w:val="20"/>
                <w:szCs w:val="20"/>
              </w:rPr>
              <w:t>6/10 кВ, що потребує заміни лічильників електроенергії на цих приєднаннях на такі, що відповідають вимогам Кодексу комерційного обліку електроенергії.</w:t>
            </w:r>
          </w:p>
          <w:p w:rsidR="006C17D3" w:rsidRPr="00B22551" w:rsidRDefault="006C17D3" w:rsidP="00E36E8D">
            <w:pPr>
              <w:tabs>
                <w:tab w:val="left" w:pos="633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9.2.</w:t>
            </w:r>
            <w:r w:rsidRPr="00B22551">
              <w:rPr>
                <w:sz w:val="20"/>
                <w:szCs w:val="20"/>
              </w:rPr>
              <w:tab/>
              <w:t xml:space="preserve">Забезпечення вимірювання обсягів електричної енергії за схемою, передбаченою кодексом </w:t>
            </w:r>
            <w:proofErr w:type="gramStart"/>
            <w:r w:rsidRPr="00B22551">
              <w:rPr>
                <w:sz w:val="20"/>
                <w:szCs w:val="20"/>
              </w:rPr>
              <w:t>обл</w:t>
            </w:r>
            <w:proofErr w:type="gramEnd"/>
            <w:r w:rsidRPr="00B22551">
              <w:rPr>
                <w:sz w:val="20"/>
                <w:szCs w:val="20"/>
              </w:rPr>
              <w:t>іку електричної енергії, а саме шляхом складання балансу між надходженням електричної енергії, її споживанням на технологічні потреби та транзитом у мережу оператора системи розподілу.</w:t>
            </w:r>
          </w:p>
          <w:p w:rsidR="006C17D3" w:rsidRPr="00B22551" w:rsidRDefault="006C17D3" w:rsidP="00E36E8D">
            <w:pPr>
              <w:tabs>
                <w:tab w:val="left" w:pos="59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9.3.</w:t>
            </w:r>
            <w:r w:rsidRPr="00B225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Застосування </w:t>
            </w:r>
            <w:r w:rsidRPr="00B22551">
              <w:rPr>
                <w:sz w:val="20"/>
                <w:szCs w:val="20"/>
              </w:rPr>
              <w:t xml:space="preserve">програмного забезпечення АСКОЕ </w:t>
            </w:r>
            <w:r>
              <w:rPr>
                <w:sz w:val="20"/>
                <w:szCs w:val="20"/>
              </w:rPr>
              <w:t xml:space="preserve">що </w:t>
            </w:r>
            <w:r w:rsidRPr="00B22551">
              <w:rPr>
                <w:sz w:val="20"/>
                <w:szCs w:val="20"/>
              </w:rPr>
              <w:t>відповід</w:t>
            </w:r>
            <w:r>
              <w:rPr>
                <w:sz w:val="20"/>
                <w:szCs w:val="20"/>
              </w:rPr>
              <w:t>ає</w:t>
            </w:r>
            <w:r w:rsidRPr="00B22551">
              <w:rPr>
                <w:sz w:val="20"/>
                <w:szCs w:val="20"/>
              </w:rPr>
              <w:t xml:space="preserve"> вимогам Правил роздрібного ринку електричної енергії щодо дискретності збору інформації з лічильникі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>.</w:t>
            </w:r>
          </w:p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9.4.</w:t>
            </w:r>
            <w:r w:rsidRPr="00B22551">
              <w:rPr>
                <w:sz w:val="20"/>
                <w:szCs w:val="20"/>
              </w:rPr>
              <w:tab/>
              <w:t xml:space="preserve">Реконструкція </w:t>
            </w:r>
            <w:r>
              <w:rPr>
                <w:sz w:val="20"/>
                <w:szCs w:val="20"/>
              </w:rPr>
              <w:t xml:space="preserve">ТКО (точок комерційного </w:t>
            </w:r>
            <w:proofErr w:type="gramStart"/>
            <w:r>
              <w:rPr>
                <w:sz w:val="20"/>
                <w:szCs w:val="20"/>
              </w:rPr>
              <w:t>обл</w:t>
            </w:r>
            <w:proofErr w:type="gramEnd"/>
            <w:r>
              <w:rPr>
                <w:sz w:val="20"/>
                <w:szCs w:val="20"/>
              </w:rPr>
              <w:t xml:space="preserve">іку) </w:t>
            </w:r>
            <w:r w:rsidRPr="00B22551">
              <w:rPr>
                <w:sz w:val="20"/>
                <w:szCs w:val="20"/>
              </w:rPr>
              <w:t>в частині нижнього рівня АСКОЕ, до складу якого входять:</w:t>
            </w:r>
          </w:p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- вимірювальні трансформатори струму </w:t>
            </w:r>
            <w:r>
              <w:rPr>
                <w:sz w:val="20"/>
                <w:szCs w:val="20"/>
              </w:rPr>
              <w:t>6</w:t>
            </w:r>
            <w:r w:rsidRPr="00B22551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10</w:t>
            </w:r>
            <w:r w:rsidRPr="00B22551">
              <w:rPr>
                <w:sz w:val="20"/>
                <w:szCs w:val="20"/>
              </w:rPr>
              <w:t xml:space="preserve"> кВ;</w:t>
            </w:r>
          </w:p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- вимірювальні трансформатори напруги </w:t>
            </w:r>
            <w:r>
              <w:rPr>
                <w:sz w:val="20"/>
                <w:szCs w:val="20"/>
              </w:rPr>
              <w:t>6</w:t>
            </w:r>
            <w:r w:rsidRPr="00B22551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10</w:t>
            </w:r>
            <w:r w:rsidRPr="00B22551">
              <w:rPr>
                <w:sz w:val="20"/>
                <w:szCs w:val="20"/>
              </w:rPr>
              <w:t xml:space="preserve"> кВ;</w:t>
            </w:r>
          </w:p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- </w:t>
            </w:r>
            <w:proofErr w:type="gramStart"/>
            <w:r w:rsidRPr="00B22551">
              <w:rPr>
                <w:sz w:val="20"/>
                <w:szCs w:val="20"/>
              </w:rPr>
              <w:t>л</w:t>
            </w:r>
            <w:proofErr w:type="gramEnd"/>
            <w:r w:rsidRPr="00B22551">
              <w:rPr>
                <w:sz w:val="20"/>
                <w:szCs w:val="20"/>
              </w:rPr>
              <w:t>ічильники електроенергії;</w:t>
            </w:r>
          </w:p>
          <w:p w:rsidR="006C17D3" w:rsidRPr="00B22551" w:rsidRDefault="006C17D3" w:rsidP="00E36E8D">
            <w:pPr>
              <w:ind w:right="107"/>
              <w:jc w:val="both"/>
              <w:rPr>
                <w:color w:val="FF0000"/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B22551">
              <w:rPr>
                <w:sz w:val="20"/>
                <w:szCs w:val="20"/>
              </w:rPr>
              <w:t>бладнання зв’язку.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Черговість будівництва, </w:t>
            </w:r>
            <w:r w:rsidRPr="00B22551">
              <w:rPr>
                <w:b/>
                <w:sz w:val="20"/>
                <w:szCs w:val="20"/>
              </w:rPr>
              <w:lastRenderedPageBreak/>
              <w:t>необхідність виділення пускових комплексі</w:t>
            </w:r>
            <w:proofErr w:type="gramStart"/>
            <w:r w:rsidRPr="00B22551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lastRenderedPageBreak/>
              <w:t xml:space="preserve">В одну чергу, </w:t>
            </w:r>
            <w:proofErr w:type="gramStart"/>
            <w:r w:rsidRPr="00B22551">
              <w:rPr>
                <w:sz w:val="20"/>
                <w:szCs w:val="20"/>
              </w:rPr>
              <w:t>без</w:t>
            </w:r>
            <w:proofErr w:type="gramEnd"/>
            <w:r w:rsidRPr="00B22551">
              <w:rPr>
                <w:sz w:val="20"/>
                <w:szCs w:val="20"/>
              </w:rPr>
              <w:t xml:space="preserve"> виділення пускових комплексів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trike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lastRenderedPageBreak/>
              <w:t xml:space="preserve">   11.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trike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Клас наслідків (відповідальності) та розрахунковий строк експлуатації об’єкта, основних конструктивних і технологічних </w:t>
            </w:r>
            <w:proofErr w:type="gramStart"/>
            <w:r w:rsidRPr="00B22551">
              <w:rPr>
                <w:b/>
                <w:sz w:val="20"/>
                <w:szCs w:val="20"/>
              </w:rPr>
              <w:t>р</w:t>
            </w:r>
            <w:proofErr w:type="gramEnd"/>
            <w:r w:rsidRPr="00B22551">
              <w:rPr>
                <w:b/>
                <w:sz w:val="20"/>
                <w:szCs w:val="20"/>
              </w:rPr>
              <w:t>ішень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Попередньо визначений клас наслідків (відповідальності) – СС</w:t>
            </w:r>
            <w:proofErr w:type="gramStart"/>
            <w:r w:rsidRPr="00B22551">
              <w:rPr>
                <w:sz w:val="20"/>
                <w:szCs w:val="20"/>
              </w:rPr>
              <w:t>1</w:t>
            </w:r>
            <w:proofErr w:type="gramEnd"/>
            <w:r w:rsidRPr="00B22551">
              <w:rPr>
                <w:sz w:val="20"/>
                <w:szCs w:val="20"/>
              </w:rPr>
              <w:t xml:space="preserve">. Остаточне визначення класу наслідків (відповідальності)  зазначається згідно розрахунку </w:t>
            </w:r>
            <w:proofErr w:type="gramStart"/>
            <w:r w:rsidRPr="00B22551">
              <w:rPr>
                <w:sz w:val="20"/>
                <w:szCs w:val="20"/>
              </w:rPr>
              <w:t>у</w:t>
            </w:r>
            <w:proofErr w:type="gramEnd"/>
            <w:r w:rsidRPr="00B22551">
              <w:rPr>
                <w:sz w:val="20"/>
                <w:szCs w:val="20"/>
              </w:rPr>
              <w:t xml:space="preserve"> проекті відповідно до Закону України № 3038-VІ від 17.02.2011 «Про регулювання містобудівної діяльності» та ДСТУ 8855:2019 «Визначення класу наслідків (відповідальності)».</w:t>
            </w:r>
          </w:p>
          <w:p w:rsidR="006C17D3" w:rsidRPr="00B22551" w:rsidRDefault="006C17D3" w:rsidP="00E36E8D">
            <w:pPr>
              <w:ind w:right="107"/>
              <w:jc w:val="both"/>
              <w:rPr>
                <w:strike/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Розрахунковий строк експлуатації об’єкта – 20 рокі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>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Погодження проектних </w:t>
            </w:r>
            <w:proofErr w:type="gramStart"/>
            <w:r w:rsidRPr="00B22551">
              <w:rPr>
                <w:b/>
                <w:sz w:val="20"/>
                <w:szCs w:val="20"/>
              </w:rPr>
              <w:t>р</w:t>
            </w:r>
            <w:proofErr w:type="gramEnd"/>
            <w:r w:rsidRPr="00B22551">
              <w:rPr>
                <w:b/>
                <w:sz w:val="20"/>
                <w:szCs w:val="20"/>
              </w:rPr>
              <w:t>ішень із зацікавленими відомствами, службами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Погодження проектної документації з суміжними ліцензіатами енергоринку та регуляторними органами у встановленому порядку здійснює проектна організація. 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trike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77" w:hanging="4"/>
              <w:rPr>
                <w:b/>
                <w:spacing w:val="-2"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Обсяг проектних робі</w:t>
            </w:r>
            <w:proofErr w:type="gramStart"/>
            <w:r w:rsidRPr="00B22551">
              <w:rPr>
                <w:b/>
                <w:sz w:val="20"/>
                <w:szCs w:val="20"/>
              </w:rPr>
              <w:t>т</w:t>
            </w:r>
            <w:proofErr w:type="gramEnd"/>
            <w:r w:rsidRPr="00B22551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:rsidR="006C17D3" w:rsidRPr="00B22551" w:rsidRDefault="006C17D3" w:rsidP="00E36E8D">
            <w:pPr>
              <w:shd w:val="clear" w:color="auto" w:fill="FFFFFF"/>
              <w:ind w:left="4" w:right="77" w:hanging="4"/>
              <w:rPr>
                <w:b/>
                <w:sz w:val="20"/>
                <w:szCs w:val="20"/>
              </w:rPr>
            </w:pPr>
          </w:p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FFFFF"/>
            <w:vAlign w:val="center"/>
          </w:tcPr>
          <w:p w:rsidR="006C17D3" w:rsidRPr="00B22551" w:rsidRDefault="006C17D3" w:rsidP="00E36E8D">
            <w:pPr>
              <w:tabs>
                <w:tab w:val="left" w:pos="181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13.1. Відповідно до чинних нормативних документів: ДСТУ Б А.2.4-4:2009 «Основні вимоги до проектної та робочої документації»; ДБН А.2.2-3:2014 «Склад та змі</w:t>
            </w:r>
            <w:proofErr w:type="gramStart"/>
            <w:r w:rsidRPr="00B22551">
              <w:rPr>
                <w:sz w:val="20"/>
                <w:szCs w:val="20"/>
              </w:rPr>
              <w:t>ст</w:t>
            </w:r>
            <w:proofErr w:type="gramEnd"/>
            <w:r w:rsidRPr="00B22551">
              <w:rPr>
                <w:sz w:val="20"/>
                <w:szCs w:val="20"/>
              </w:rPr>
              <w:t xml:space="preserve"> проектної документації на будівництво».</w:t>
            </w:r>
          </w:p>
          <w:p w:rsidR="006C17D3" w:rsidRPr="00B22551" w:rsidRDefault="006C17D3" w:rsidP="00E36E8D">
            <w:pPr>
              <w:tabs>
                <w:tab w:val="left" w:pos="181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13.2. Склад робочого проекту, зокрема але не виключно: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Опис загальносистемних </w:t>
            </w:r>
            <w:proofErr w:type="gramStart"/>
            <w:r w:rsidRPr="001D08D8">
              <w:rPr>
                <w:sz w:val="20"/>
                <w:lang w:val="ru-RU" w:eastAsia="ru-RU"/>
              </w:rPr>
              <w:t>р</w:t>
            </w:r>
            <w:proofErr w:type="gramEnd"/>
            <w:r w:rsidRPr="001D08D8">
              <w:rPr>
                <w:sz w:val="20"/>
                <w:lang w:val="ru-RU" w:eastAsia="ru-RU"/>
              </w:rPr>
              <w:t>ішень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Опис комплексу технічних засобі</w:t>
            </w:r>
            <w:proofErr w:type="gramStart"/>
            <w:r w:rsidRPr="001D08D8">
              <w:rPr>
                <w:sz w:val="20"/>
                <w:lang w:val="ru-RU" w:eastAsia="ru-RU"/>
              </w:rPr>
              <w:t>в</w:t>
            </w:r>
            <w:proofErr w:type="gramEnd"/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Опис інформаційного та математичного забезпечення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Пояснювальна записка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Структурна схема комплексу технічних засобі</w:t>
            </w:r>
            <w:proofErr w:type="gramStart"/>
            <w:r w:rsidRPr="001D08D8">
              <w:rPr>
                <w:sz w:val="20"/>
                <w:lang w:val="ru-RU" w:eastAsia="ru-RU"/>
              </w:rPr>
              <w:t>в</w:t>
            </w:r>
            <w:proofErr w:type="gramEnd"/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Однолінійні схеми з зазначенням місць облаштування точок </w:t>
            </w:r>
            <w:proofErr w:type="gramStart"/>
            <w:r w:rsidRPr="001D08D8">
              <w:rPr>
                <w:sz w:val="20"/>
                <w:lang w:val="ru-RU" w:eastAsia="ru-RU"/>
              </w:rPr>
              <w:t>обл</w:t>
            </w:r>
            <w:proofErr w:type="gramEnd"/>
            <w:r w:rsidRPr="001D08D8">
              <w:rPr>
                <w:sz w:val="20"/>
                <w:lang w:val="ru-RU" w:eastAsia="ru-RU"/>
              </w:rPr>
              <w:t>іку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Плани розташування обладнання та прокладки кабелі</w:t>
            </w:r>
            <w:proofErr w:type="gramStart"/>
            <w:r w:rsidRPr="001D08D8">
              <w:rPr>
                <w:sz w:val="20"/>
                <w:lang w:val="ru-RU" w:eastAsia="ru-RU"/>
              </w:rPr>
              <w:t>в</w:t>
            </w:r>
            <w:proofErr w:type="gramEnd"/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Схеми </w:t>
            </w:r>
            <w:proofErr w:type="gramStart"/>
            <w:r w:rsidRPr="001D08D8">
              <w:rPr>
                <w:sz w:val="20"/>
                <w:lang w:val="ru-RU" w:eastAsia="ru-RU"/>
              </w:rPr>
              <w:t>п</w:t>
            </w:r>
            <w:proofErr w:type="gramEnd"/>
            <w:r w:rsidRPr="001D08D8">
              <w:rPr>
                <w:sz w:val="20"/>
                <w:lang w:val="ru-RU" w:eastAsia="ru-RU"/>
              </w:rPr>
              <w:t>ідключення зовнішніх проводок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Кабельний журнал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Креслення шаф </w:t>
            </w:r>
            <w:proofErr w:type="gramStart"/>
            <w:r w:rsidRPr="001D08D8">
              <w:rPr>
                <w:sz w:val="20"/>
                <w:lang w:val="ru-RU" w:eastAsia="ru-RU"/>
              </w:rPr>
              <w:t>обл</w:t>
            </w:r>
            <w:proofErr w:type="gramEnd"/>
            <w:r w:rsidRPr="001D08D8">
              <w:rPr>
                <w:sz w:val="20"/>
                <w:lang w:val="ru-RU" w:eastAsia="ru-RU"/>
              </w:rPr>
              <w:t>іку, шаф зв’язку, комутаційних та серверних шаф</w:t>
            </w:r>
          </w:p>
          <w:p w:rsidR="006C17D3" w:rsidRPr="001D08D8" w:rsidRDefault="006C17D3" w:rsidP="006C17D3">
            <w:pPr>
              <w:pStyle w:val="a3"/>
              <w:numPr>
                <w:ilvl w:val="0"/>
                <w:numId w:val="10"/>
              </w:numPr>
              <w:tabs>
                <w:tab w:val="left" w:pos="181"/>
              </w:tabs>
              <w:ind w:left="0" w:right="107" w:firstLine="0"/>
              <w:contextualSpacing/>
              <w:jc w:val="both"/>
              <w:rPr>
                <w:strike/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Специфікація обладнання, програмного забезпечення та </w:t>
            </w:r>
            <w:proofErr w:type="gramStart"/>
            <w:r w:rsidRPr="001D08D8">
              <w:rPr>
                <w:sz w:val="20"/>
                <w:lang w:val="ru-RU" w:eastAsia="ru-RU"/>
              </w:rPr>
              <w:t>матер</w:t>
            </w:r>
            <w:proofErr w:type="gramEnd"/>
            <w:r w:rsidRPr="001D08D8">
              <w:rPr>
                <w:sz w:val="20"/>
                <w:lang w:val="ru-RU" w:eastAsia="ru-RU"/>
              </w:rPr>
              <w:t>іалів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   14.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77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Вимоги </w:t>
            </w:r>
            <w:proofErr w:type="gramStart"/>
            <w:r w:rsidRPr="00B22551">
              <w:rPr>
                <w:b/>
                <w:sz w:val="20"/>
                <w:szCs w:val="20"/>
              </w:rPr>
              <w:t>до благоустрою</w:t>
            </w:r>
            <w:proofErr w:type="gramEnd"/>
            <w:r w:rsidRPr="00B22551">
              <w:rPr>
                <w:b/>
                <w:sz w:val="20"/>
                <w:szCs w:val="20"/>
              </w:rPr>
              <w:t xml:space="preserve"> майданчика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Не вимагаються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   15.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до інженерного захисту територій і захисту будівель і споруд від небезпечних природних чи техногенних факторі</w:t>
            </w:r>
            <w:proofErr w:type="gramStart"/>
            <w:r w:rsidRPr="00B22551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Відповідно до чинних нормативних документі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 </w:t>
            </w:r>
            <w:r w:rsidRPr="00B2255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ind w:left="4" w:hanging="4"/>
              <w:rPr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Вимоги щодо розроблення розділу «Оцінка впливу на навколишнє середовище» з урахуванням оцінки впливу на довкілля (за наявності). 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  <w:lang w:eastAsia="ar-SA"/>
              </w:rPr>
              <w:t>В установленому порядку в обсязі згідно з ДБН А.2.2-1:</w:t>
            </w:r>
            <w:r w:rsidRPr="00B22551">
              <w:rPr>
                <w:sz w:val="20"/>
                <w:szCs w:val="20"/>
              </w:rPr>
              <w:t>2021 «Склад і змі</w:t>
            </w:r>
            <w:proofErr w:type="gramStart"/>
            <w:r w:rsidRPr="00B22551">
              <w:rPr>
                <w:sz w:val="20"/>
                <w:szCs w:val="20"/>
              </w:rPr>
              <w:t>ст</w:t>
            </w:r>
            <w:proofErr w:type="gramEnd"/>
            <w:r w:rsidRPr="00B22551">
              <w:rPr>
                <w:sz w:val="20"/>
                <w:szCs w:val="20"/>
              </w:rPr>
              <w:t xml:space="preserve"> матеріалів оцінки впливів на навколишнє середовище (ОВНС)».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ind w:left="4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щодо розроблення природоохоронних заході</w:t>
            </w:r>
            <w:proofErr w:type="gramStart"/>
            <w:r w:rsidRPr="00B22551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  <w:lang w:eastAsia="ar-SA"/>
              </w:rPr>
            </w:pPr>
            <w:r w:rsidRPr="00B22551">
              <w:rPr>
                <w:sz w:val="20"/>
                <w:szCs w:val="20"/>
              </w:rPr>
              <w:t xml:space="preserve">Облаштування місця для тимчасового зберігання відходів, утворених </w:t>
            </w:r>
            <w:proofErr w:type="gramStart"/>
            <w:r w:rsidRPr="00B22551">
              <w:rPr>
                <w:sz w:val="20"/>
                <w:szCs w:val="20"/>
              </w:rPr>
              <w:t>п</w:t>
            </w:r>
            <w:proofErr w:type="gramEnd"/>
            <w:r w:rsidRPr="00B22551">
              <w:rPr>
                <w:sz w:val="20"/>
                <w:szCs w:val="20"/>
              </w:rPr>
              <w:t>ід час демонтажу застарілого та встановлення нового основного та допоміжного обладнання, відповідно до вимог чинного законодавства щодо поводження/управління відходами та вивезення утворених відходів підрядною організацією, що виконуватиме роботи.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з енергозбереження та енергоефективності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tabs>
                <w:tab w:val="left" w:pos="474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Згідно вимог:</w:t>
            </w:r>
          </w:p>
          <w:p w:rsidR="006C17D3" w:rsidRPr="00B22551" w:rsidRDefault="006C17D3" w:rsidP="00E36E8D">
            <w:pPr>
              <w:tabs>
                <w:tab w:val="left" w:pos="474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18.1. Закон України «Про енергетичну ефективність».</w:t>
            </w:r>
          </w:p>
          <w:p w:rsidR="006C17D3" w:rsidRPr="00B22551" w:rsidRDefault="006C17D3" w:rsidP="00E36E8D">
            <w:pPr>
              <w:tabs>
                <w:tab w:val="left" w:pos="535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18.2. Директива від 25.10.2012 № 2012/27</w:t>
            </w:r>
            <w:proofErr w:type="gramStart"/>
            <w:r w:rsidRPr="00B22551">
              <w:rPr>
                <w:sz w:val="20"/>
                <w:szCs w:val="20"/>
              </w:rPr>
              <w:t>/ЄС</w:t>
            </w:r>
            <w:proofErr w:type="gramEnd"/>
            <w:r w:rsidRPr="00B22551">
              <w:rPr>
                <w:sz w:val="20"/>
                <w:szCs w:val="20"/>
              </w:rPr>
              <w:t xml:space="preserve"> Про енергоефективність. 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щодо розроблення розділу "Організація будівництва"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tabs>
                <w:tab w:val="left" w:pos="474"/>
                <w:tab w:val="left" w:pos="616"/>
                <w:tab w:val="left" w:pos="82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19.1. Виконати розділ «Організація будівництва» (ПОБ) в обсязі згідно з ДБН А.3.1-5:2016 «Організація будівельного виробництва».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141"/>
                <w:tab w:val="left" w:pos="474"/>
                <w:tab w:val="left" w:pos="616"/>
              </w:tabs>
              <w:suppressAutoHyphens/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ar-SA"/>
              </w:rPr>
            </w:pPr>
            <w:r w:rsidRPr="001D08D8">
              <w:rPr>
                <w:sz w:val="20"/>
                <w:lang w:val="ru-RU" w:eastAsia="ar-SA"/>
              </w:rPr>
              <w:t>В розділі ПОБ обов’язково зазначити умови виконання будівельних робіт та обґрунтувати застосування відповідних коефіцієнті</w:t>
            </w:r>
            <w:proofErr w:type="gramStart"/>
            <w:r w:rsidRPr="001D08D8">
              <w:rPr>
                <w:sz w:val="20"/>
                <w:lang w:val="ru-RU" w:eastAsia="ar-SA"/>
              </w:rPr>
              <w:t>в</w:t>
            </w:r>
            <w:proofErr w:type="gramEnd"/>
            <w:r w:rsidRPr="001D08D8">
              <w:rPr>
                <w:sz w:val="20"/>
                <w:lang w:val="ru-RU" w:eastAsia="ar-SA"/>
              </w:rPr>
              <w:t>.</w:t>
            </w:r>
          </w:p>
          <w:p w:rsidR="006C17D3" w:rsidRPr="001D08D8" w:rsidRDefault="006C17D3" w:rsidP="006C17D3">
            <w:pPr>
              <w:pStyle w:val="a3"/>
              <w:numPr>
                <w:ilvl w:val="1"/>
                <w:numId w:val="3"/>
              </w:numPr>
              <w:tabs>
                <w:tab w:val="left" w:pos="474"/>
                <w:tab w:val="left" w:pos="616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ar-SA"/>
              </w:rPr>
              <w:t>Відстані до полігону для вивезення будівельного сміття та інші дані, які необхідні для розроблення розділу, погодити з Замовником.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Вимоги до проекту </w:t>
            </w:r>
            <w:proofErr w:type="gramStart"/>
            <w:r w:rsidRPr="00B22551">
              <w:rPr>
                <w:b/>
                <w:sz w:val="20"/>
                <w:szCs w:val="20"/>
              </w:rPr>
              <w:t>п</w:t>
            </w:r>
            <w:proofErr w:type="gramEnd"/>
            <w:r w:rsidRPr="00B22551">
              <w:rPr>
                <w:b/>
                <w:sz w:val="20"/>
                <w:szCs w:val="20"/>
              </w:rPr>
              <w:t>ідготовчих робіт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tabs>
                <w:tab w:val="left" w:pos="319"/>
                <w:tab w:val="left" w:pos="481"/>
                <w:tab w:val="left" w:pos="1830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Виконати розділ «</w:t>
            </w:r>
            <w:proofErr w:type="gramStart"/>
            <w:r w:rsidRPr="00B22551">
              <w:rPr>
                <w:sz w:val="20"/>
                <w:szCs w:val="20"/>
              </w:rPr>
              <w:t>П</w:t>
            </w:r>
            <w:proofErr w:type="gramEnd"/>
            <w:r w:rsidRPr="00B22551">
              <w:rPr>
                <w:sz w:val="20"/>
                <w:szCs w:val="20"/>
              </w:rPr>
              <w:t>ідготовчі роботи» (ПрПР) в обсязі згідно з ДБН А.3.1-5:2016. (при необхідності)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 xml:space="preserve">Вимоги </w:t>
            </w:r>
            <w:proofErr w:type="gramStart"/>
            <w:r w:rsidRPr="00B22551">
              <w:rPr>
                <w:b/>
                <w:sz w:val="20"/>
                <w:szCs w:val="20"/>
              </w:rPr>
              <w:t>до</w:t>
            </w:r>
            <w:proofErr w:type="gramEnd"/>
            <w:r w:rsidRPr="00B22551">
              <w:rPr>
                <w:b/>
                <w:sz w:val="20"/>
                <w:szCs w:val="20"/>
              </w:rPr>
              <w:t xml:space="preserve"> режиму </w:t>
            </w:r>
          </w:p>
          <w:p w:rsidR="006C17D3" w:rsidRPr="00B22551" w:rsidRDefault="006C17D3" w:rsidP="00E36E8D">
            <w:pPr>
              <w:ind w:left="4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безпеки та охорони праці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tabs>
                <w:tab w:val="left" w:pos="141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Відповідно до ДБН А.3.2-2-2009 «Система стандартів безпеки праці. Охорона праці і промислова безпека в будівництві»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з пожежної безпеки об’єкта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Згідно ДБН В.1.1.7-2016 «Пожежна безпека об’єктів будівництва»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до розроблення спеціальних заході</w:t>
            </w:r>
            <w:proofErr w:type="gramStart"/>
            <w:r w:rsidRPr="00B22551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Відсутні.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до проектної документації.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tabs>
                <w:tab w:val="left" w:pos="332"/>
                <w:tab w:val="left" w:pos="594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24.1. Проект виконати відповідно до чинних нормативних документів: ДСТУ Б А.2.4-4:2009 «Основні вимоги </w:t>
            </w:r>
            <w:proofErr w:type="gramStart"/>
            <w:r w:rsidRPr="00B22551">
              <w:rPr>
                <w:sz w:val="20"/>
                <w:szCs w:val="20"/>
              </w:rPr>
              <w:t>до</w:t>
            </w:r>
            <w:proofErr w:type="gramEnd"/>
            <w:r w:rsidRPr="00B22551">
              <w:rPr>
                <w:sz w:val="20"/>
                <w:szCs w:val="20"/>
              </w:rPr>
              <w:t xml:space="preserve"> проектної та робочої документації»; ДБН </w:t>
            </w:r>
            <w:r w:rsidRPr="00B22551">
              <w:rPr>
                <w:sz w:val="20"/>
                <w:szCs w:val="20"/>
              </w:rPr>
              <w:lastRenderedPageBreak/>
              <w:t>А.2.2-3:2014.</w:t>
            </w:r>
          </w:p>
          <w:p w:rsidR="006C17D3" w:rsidRPr="00B22551" w:rsidRDefault="006C17D3" w:rsidP="00E36E8D">
            <w:pPr>
              <w:tabs>
                <w:tab w:val="left" w:pos="332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pacing w:val="-2"/>
                <w:sz w:val="20"/>
                <w:szCs w:val="20"/>
              </w:rPr>
              <w:t xml:space="preserve">24.2. Проектну документацію надати в повному обсязі у паперовому вигляді у </w:t>
            </w:r>
            <w:r w:rsidRPr="00B22551">
              <w:rPr>
                <w:sz w:val="20"/>
                <w:szCs w:val="20"/>
              </w:rPr>
              <w:t xml:space="preserve">4-х примірниках (один повний комплект має бути в паперовому </w:t>
            </w:r>
            <w:proofErr w:type="gramStart"/>
            <w:r w:rsidRPr="00B22551">
              <w:rPr>
                <w:sz w:val="20"/>
                <w:szCs w:val="20"/>
              </w:rPr>
              <w:t>арх</w:t>
            </w:r>
            <w:proofErr w:type="gramEnd"/>
            <w:r w:rsidRPr="00B22551">
              <w:rPr>
                <w:sz w:val="20"/>
                <w:szCs w:val="20"/>
              </w:rPr>
              <w:t>івному боксі)</w:t>
            </w:r>
            <w:r w:rsidRPr="00B22551">
              <w:rPr>
                <w:spacing w:val="-2"/>
                <w:sz w:val="20"/>
                <w:szCs w:val="20"/>
              </w:rPr>
              <w:t>.</w:t>
            </w:r>
          </w:p>
          <w:p w:rsidR="006C17D3" w:rsidRPr="00B22551" w:rsidRDefault="006C17D3" w:rsidP="00E36E8D">
            <w:pPr>
              <w:tabs>
                <w:tab w:val="left" w:pos="332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24.3. Проектна документація надається з урахуванням усіх зауважень отриманих від Замовника, органі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 xml:space="preserve"> (</w:t>
            </w:r>
            <w:proofErr w:type="gramStart"/>
            <w:r w:rsidRPr="00B22551">
              <w:rPr>
                <w:sz w:val="20"/>
                <w:szCs w:val="20"/>
              </w:rPr>
              <w:t>служб</w:t>
            </w:r>
            <w:proofErr w:type="gramEnd"/>
            <w:r w:rsidRPr="00B22551">
              <w:rPr>
                <w:sz w:val="20"/>
                <w:szCs w:val="20"/>
              </w:rPr>
              <w:t>, організацій), що здійснюють її розгляд (погодження), та експертної організації.</w:t>
            </w:r>
          </w:p>
          <w:p w:rsidR="006C17D3" w:rsidRPr="001D08D8" w:rsidRDefault="006C17D3" w:rsidP="006C17D3">
            <w:pPr>
              <w:pStyle w:val="a3"/>
              <w:numPr>
                <w:ilvl w:val="1"/>
                <w:numId w:val="4"/>
              </w:numPr>
              <w:tabs>
                <w:tab w:val="left" w:pos="332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shd w:val="clear" w:color="auto" w:fill="FFFFFF"/>
                <w:lang w:val="ru-RU" w:eastAsia="ru-RU"/>
              </w:rPr>
              <w:t xml:space="preserve">Окремо надати оригінали отриманих вихідних даних, листи щодо погоджень, отримані Технічні </w:t>
            </w:r>
            <w:proofErr w:type="gramStart"/>
            <w:r w:rsidRPr="001D08D8">
              <w:rPr>
                <w:sz w:val="20"/>
                <w:shd w:val="clear" w:color="auto" w:fill="FFFFFF"/>
                <w:lang w:val="ru-RU" w:eastAsia="ru-RU"/>
              </w:rPr>
              <w:t>р</w:t>
            </w:r>
            <w:proofErr w:type="gramEnd"/>
            <w:r w:rsidRPr="001D08D8">
              <w:rPr>
                <w:sz w:val="20"/>
                <w:shd w:val="clear" w:color="auto" w:fill="FFFFFF"/>
                <w:lang w:val="ru-RU" w:eastAsia="ru-RU"/>
              </w:rPr>
              <w:t>ішення, Експертний звіт (позитивний) та Додатки до експертного звіту. 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до електронної версії проектної документації</w:t>
            </w:r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tabs>
                <w:tab w:val="left" w:pos="436"/>
                <w:tab w:val="left" w:pos="601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pacing w:val="-2"/>
                <w:sz w:val="20"/>
                <w:szCs w:val="20"/>
              </w:rPr>
              <w:t xml:space="preserve">Проектна документація додатково надається в електронному вигляді на </w:t>
            </w:r>
            <w:r w:rsidRPr="00B22551">
              <w:rPr>
                <w:sz w:val="20"/>
                <w:szCs w:val="20"/>
              </w:rPr>
              <w:t>USB Flash носії</w:t>
            </w:r>
            <w:r w:rsidRPr="00B22551">
              <w:rPr>
                <w:spacing w:val="-2"/>
                <w:sz w:val="20"/>
                <w:szCs w:val="20"/>
              </w:rPr>
              <w:t xml:space="preserve"> та має відповідати вимогам п. 20, 21 </w:t>
            </w:r>
            <w:r w:rsidRPr="00B22551">
              <w:rPr>
                <w:sz w:val="20"/>
                <w:szCs w:val="20"/>
              </w:rPr>
              <w:t>завдання на проектування.</w:t>
            </w:r>
          </w:p>
          <w:p w:rsidR="006C17D3" w:rsidRPr="001D08D8" w:rsidRDefault="006C17D3" w:rsidP="006C17D3">
            <w:pPr>
              <w:pStyle w:val="a3"/>
              <w:numPr>
                <w:ilvl w:val="1"/>
                <w:numId w:val="5"/>
              </w:numPr>
              <w:tabs>
                <w:tab w:val="left" w:pos="436"/>
                <w:tab w:val="left" w:pos="601"/>
                <w:tab w:val="left" w:pos="877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USB Flash носій має бути промаркований етикеткою, на якій зазначається: назва проекту, проектна організація, шифр проекту та </w:t>
            </w:r>
            <w:proofErr w:type="gramStart"/>
            <w:r w:rsidRPr="001D08D8">
              <w:rPr>
                <w:sz w:val="20"/>
                <w:lang w:val="ru-RU" w:eastAsia="ru-RU"/>
              </w:rPr>
              <w:t>р</w:t>
            </w:r>
            <w:proofErr w:type="gramEnd"/>
            <w:r w:rsidRPr="001D08D8">
              <w:rPr>
                <w:sz w:val="20"/>
                <w:lang w:val="ru-RU" w:eastAsia="ru-RU"/>
              </w:rPr>
              <w:t>ік виконання.</w:t>
            </w:r>
          </w:p>
          <w:p w:rsidR="006C17D3" w:rsidRPr="00B22551" w:rsidRDefault="006C17D3" w:rsidP="00E36E8D">
            <w:pPr>
              <w:tabs>
                <w:tab w:val="left" w:pos="436"/>
                <w:tab w:val="left" w:pos="601"/>
                <w:tab w:val="left" w:pos="877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25.2.Проєктна документація надається в сканованому вигляді у форматі *.pdf та електронному варіанті вихідних програмних форматів: текстова частина - *.docx; таблиці, розрахунки, графіки - *.xlsx;; кошториси на проектні роботи – формат програмного комплексу; кошториси на будівельні роботи - формат програмного комплексу АВК-5 (</w:t>
            </w:r>
            <w:proofErr w:type="gramStart"/>
            <w:r w:rsidRPr="00B22551">
              <w:rPr>
                <w:sz w:val="20"/>
                <w:szCs w:val="20"/>
              </w:rPr>
              <w:t>у</w:t>
            </w:r>
            <w:proofErr w:type="gramEnd"/>
            <w:r w:rsidRPr="00B22551">
              <w:rPr>
                <w:sz w:val="20"/>
                <w:szCs w:val="20"/>
              </w:rPr>
              <w:t xml:space="preserve"> поточній редакції).</w:t>
            </w:r>
          </w:p>
          <w:p w:rsidR="006C17D3" w:rsidRPr="001D08D8" w:rsidRDefault="006C17D3" w:rsidP="006C17D3">
            <w:pPr>
              <w:pStyle w:val="a3"/>
              <w:numPr>
                <w:ilvl w:val="1"/>
                <w:numId w:val="6"/>
              </w:numPr>
              <w:tabs>
                <w:tab w:val="left" w:pos="436"/>
                <w:tab w:val="left" w:pos="601"/>
                <w:tab w:val="left" w:pos="871"/>
              </w:tabs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Документація в форматі .pdf повинна бути зброшурована відповідно до виконаних розділів проекту, аркуші повинні бути орієнтовані відповідним чином (аналогічно паперовому варіанту), кожний файл повинен бути повною копією паперового варіанту (містити додатки, </w:t>
            </w:r>
            <w:proofErr w:type="gramStart"/>
            <w:r w:rsidRPr="001D08D8">
              <w:rPr>
                <w:sz w:val="20"/>
                <w:lang w:val="ru-RU" w:eastAsia="ru-RU"/>
              </w:rPr>
              <w:t>п</w:t>
            </w:r>
            <w:proofErr w:type="gramEnd"/>
            <w:r w:rsidRPr="001D08D8">
              <w:rPr>
                <w:sz w:val="20"/>
                <w:lang w:val="ru-RU" w:eastAsia="ru-RU"/>
              </w:rPr>
              <w:t>ідписи, печатки). Формування імені файлу: Том «№»_«шифр проекту»_«шифр розділу». Документація в форматі .pdf записується в корінь Flash носія.</w:t>
            </w:r>
          </w:p>
          <w:p w:rsidR="006C17D3" w:rsidRPr="00B22551" w:rsidRDefault="006C17D3" w:rsidP="006C17D3">
            <w:pPr>
              <w:numPr>
                <w:ilvl w:val="1"/>
                <w:numId w:val="6"/>
              </w:numPr>
              <w:tabs>
                <w:tab w:val="left" w:pos="436"/>
                <w:tab w:val="left" w:pos="601"/>
              </w:tabs>
              <w:ind w:left="0" w:right="107" w:firstLine="0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Документація в форматі вихідних програмних файлі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 xml:space="preserve"> </w:t>
            </w:r>
            <w:proofErr w:type="gramStart"/>
            <w:r w:rsidRPr="00B22551">
              <w:rPr>
                <w:sz w:val="20"/>
                <w:szCs w:val="20"/>
              </w:rPr>
              <w:t>комплекту</w:t>
            </w:r>
            <w:proofErr w:type="gramEnd"/>
            <w:r w:rsidRPr="00B22551">
              <w:rPr>
                <w:sz w:val="20"/>
                <w:szCs w:val="20"/>
              </w:rPr>
              <w:t xml:space="preserve">ється в папки відповідно до розділів виданого проекту. Формування імені папки: Том «№»_«шифр проекту»_«шифр розділу». Кожна папка записується в корінь Flash носія. Назва файлу повинна містити номер (номери) аркушів 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>ідповідно до паперового варіанту документації та висвітлювати його зміст.</w:t>
            </w:r>
          </w:p>
          <w:p w:rsidR="006C17D3" w:rsidRPr="00B22551" w:rsidRDefault="006C17D3" w:rsidP="006C17D3">
            <w:pPr>
              <w:numPr>
                <w:ilvl w:val="1"/>
                <w:numId w:val="6"/>
              </w:numPr>
              <w:tabs>
                <w:tab w:val="left" w:pos="436"/>
                <w:tab w:val="left" w:pos="601"/>
              </w:tabs>
              <w:ind w:left="0" w:right="107" w:firstLine="0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Кошторисна документація розміщується в окремій папці: Том «№»_«шифр проекту»_КД. Вмі</w:t>
            </w:r>
            <w:proofErr w:type="gramStart"/>
            <w:r w:rsidRPr="00B22551">
              <w:rPr>
                <w:sz w:val="20"/>
                <w:szCs w:val="20"/>
              </w:rPr>
              <w:t>ст</w:t>
            </w:r>
            <w:proofErr w:type="gramEnd"/>
            <w:r w:rsidRPr="00B22551">
              <w:rPr>
                <w:sz w:val="20"/>
                <w:szCs w:val="20"/>
              </w:rPr>
              <w:t xml:space="preserve"> папки: кошториси на будівельні роботи та виконавчі кошториси на проектні роботи; копії листів Замовника щодо виконання кошторисів (за наявності); погоджена відомість цін на матеріали та обладнання; відомість бухгалтерських документів та копії самих документів стосовно отриманих вихідних даних та експертизи.</w:t>
            </w:r>
          </w:p>
          <w:p w:rsidR="006C17D3" w:rsidRPr="00B22551" w:rsidRDefault="006C17D3" w:rsidP="006C17D3">
            <w:pPr>
              <w:numPr>
                <w:ilvl w:val="1"/>
                <w:numId w:val="6"/>
              </w:numPr>
              <w:tabs>
                <w:tab w:val="left" w:pos="436"/>
                <w:tab w:val="left" w:pos="601"/>
              </w:tabs>
              <w:ind w:left="0" w:right="107" w:firstLine="0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Проектна документація не </w:t>
            </w:r>
            <w:proofErr w:type="gramStart"/>
            <w:r w:rsidRPr="00B22551">
              <w:rPr>
                <w:sz w:val="20"/>
                <w:szCs w:val="20"/>
              </w:rPr>
              <w:t>арх</w:t>
            </w:r>
            <w:proofErr w:type="gramEnd"/>
            <w:r w:rsidRPr="00B22551">
              <w:rPr>
                <w:sz w:val="20"/>
                <w:szCs w:val="20"/>
              </w:rPr>
              <w:t>івується.</w:t>
            </w:r>
          </w:p>
          <w:p w:rsidR="006C17D3" w:rsidRPr="00B22551" w:rsidRDefault="006C17D3" w:rsidP="006C17D3">
            <w:pPr>
              <w:numPr>
                <w:ilvl w:val="1"/>
                <w:numId w:val="6"/>
              </w:numPr>
              <w:tabs>
                <w:tab w:val="left" w:pos="436"/>
                <w:tab w:val="left" w:pos="601"/>
              </w:tabs>
              <w:ind w:left="0" w:right="107" w:firstLine="0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Документація, що видається в електронному вигляді, повинна бути виконана з врахуванням </w:t>
            </w:r>
            <w:proofErr w:type="gramStart"/>
            <w:r w:rsidRPr="00B22551">
              <w:rPr>
                <w:sz w:val="20"/>
                <w:szCs w:val="20"/>
              </w:rPr>
              <w:t>вс</w:t>
            </w:r>
            <w:proofErr w:type="gramEnd"/>
            <w:r w:rsidRPr="00B22551">
              <w:rPr>
                <w:sz w:val="20"/>
                <w:szCs w:val="20"/>
              </w:rPr>
              <w:t>іх зауважень Замовника отриманих при розгляді проектної документації.</w:t>
            </w:r>
          </w:p>
          <w:p w:rsidR="006C17D3" w:rsidRPr="00B22551" w:rsidRDefault="006C17D3" w:rsidP="00E36E8D">
            <w:pPr>
              <w:tabs>
                <w:tab w:val="left" w:pos="436"/>
                <w:tab w:val="left" w:pos="601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 xml:space="preserve">Додатково в корені USB Flash носія має бути розміщена папка «Вихідні дані» де, </w:t>
            </w:r>
            <w:proofErr w:type="gramStart"/>
            <w:r w:rsidRPr="00B22551">
              <w:rPr>
                <w:sz w:val="20"/>
                <w:szCs w:val="20"/>
              </w:rPr>
              <w:t>у</w:t>
            </w:r>
            <w:proofErr w:type="gramEnd"/>
            <w:r w:rsidRPr="00B22551">
              <w:rPr>
                <w:sz w:val="20"/>
                <w:szCs w:val="20"/>
              </w:rPr>
              <w:t xml:space="preserve"> форматі *.pdf мають бути розміщені: Завдання на проектування, Чергові кадастрові плани, листи отримані при виконанні робіт (зміни до технічного завдання, тощо), Витяг з протоколу науково-технічної ради щодо розгляду проектної документації, Техніко-економічні показники, Експертний звіт, Додатки до експертного звіту, зведений кошторисний розрахунок вартості </w:t>
            </w:r>
            <w:proofErr w:type="gramStart"/>
            <w:r w:rsidRPr="00B22551">
              <w:rPr>
                <w:sz w:val="20"/>
                <w:szCs w:val="20"/>
              </w:rPr>
              <w:t>об</w:t>
            </w:r>
            <w:proofErr w:type="gramEnd"/>
            <w:r w:rsidRPr="00B22551">
              <w:rPr>
                <w:sz w:val="20"/>
                <w:szCs w:val="20"/>
              </w:rPr>
              <w:t>’єкта (будівельні роботи).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hanging="4"/>
              <w:rPr>
                <w:b/>
                <w:spacing w:val="-3"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щодо забезпечення збалансованого використання природних ресурсі</w:t>
            </w:r>
            <w:proofErr w:type="gramStart"/>
            <w:r w:rsidRPr="00B22551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6C17D3" w:rsidRPr="00B22551" w:rsidRDefault="006C17D3" w:rsidP="00E36E8D">
            <w:pPr>
              <w:widowControl w:val="0"/>
              <w:shd w:val="clear" w:color="auto" w:fill="FFFFFF"/>
              <w:tabs>
                <w:tab w:val="left" w:pos="207"/>
              </w:tabs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Відповідно до ДСТУ 9171:2021 «Настанова щодо забезпечення збалансованого використання природних ресурсі</w:t>
            </w:r>
            <w:proofErr w:type="gramStart"/>
            <w:r w:rsidRPr="00B22551">
              <w:rPr>
                <w:sz w:val="20"/>
                <w:szCs w:val="20"/>
              </w:rPr>
              <w:t>в</w:t>
            </w:r>
            <w:proofErr w:type="gramEnd"/>
            <w:r w:rsidRPr="00B22551">
              <w:rPr>
                <w:sz w:val="20"/>
                <w:szCs w:val="20"/>
              </w:rPr>
              <w:t xml:space="preserve"> при проектуванні споруд»</w:t>
            </w:r>
            <w:r>
              <w:rPr>
                <w:sz w:val="20"/>
                <w:szCs w:val="20"/>
              </w:rPr>
              <w:t xml:space="preserve"> (при необхідності)</w:t>
            </w:r>
            <w:r w:rsidRPr="00B22551">
              <w:rPr>
                <w:sz w:val="20"/>
                <w:szCs w:val="20"/>
              </w:rPr>
              <w:t>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77" w:hanging="4"/>
              <w:rPr>
                <w:b/>
                <w:spacing w:val="-2"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Додаткові вимоги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6C17D3" w:rsidRDefault="006C17D3" w:rsidP="00E3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B22551">
              <w:rPr>
                <w:spacing w:val="1"/>
                <w:sz w:val="20"/>
                <w:szCs w:val="20"/>
              </w:rPr>
              <w:t>27.1.</w:t>
            </w:r>
            <w:r w:rsidRPr="00B22551">
              <w:rPr>
                <w:spacing w:val="1"/>
                <w:sz w:val="20"/>
                <w:szCs w:val="20"/>
              </w:rPr>
              <w:tab/>
            </w:r>
            <w:proofErr w:type="gramStart"/>
            <w:r w:rsidRPr="00B22551">
              <w:rPr>
                <w:spacing w:val="1"/>
                <w:sz w:val="20"/>
                <w:szCs w:val="20"/>
              </w:rPr>
              <w:t>П</w:t>
            </w:r>
            <w:proofErr w:type="gramEnd"/>
            <w:r w:rsidRPr="00B22551">
              <w:rPr>
                <w:spacing w:val="1"/>
                <w:sz w:val="20"/>
                <w:szCs w:val="20"/>
              </w:rPr>
              <w:t>ідряднику провести погодження проектної документації, відповідно до законодавчих вимог, з організаціями та установами які уповноважені перевіряти та погоджувати технічні рішення у проектної документації</w:t>
            </w:r>
            <w:r>
              <w:rPr>
                <w:spacing w:val="1"/>
                <w:sz w:val="20"/>
                <w:szCs w:val="20"/>
              </w:rPr>
              <w:t xml:space="preserve">: </w:t>
            </w:r>
          </w:p>
          <w:p w:rsidR="006C17D3" w:rsidRPr="00B22551" w:rsidRDefault="006C17D3" w:rsidP="00E3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ПАТ «Запоріжжяобленерго</w:t>
            </w:r>
            <w:r w:rsidRPr="00B22551">
              <w:rPr>
                <w:spacing w:val="1"/>
                <w:sz w:val="20"/>
                <w:szCs w:val="20"/>
              </w:rPr>
              <w:t>»</w:t>
            </w:r>
            <w:r>
              <w:rPr>
                <w:spacing w:val="1"/>
                <w:sz w:val="20"/>
                <w:szCs w:val="20"/>
              </w:rPr>
              <w:t>, ПАТ «Запоріжсталь», ПАТ «Дніпроспецсталь», ПрАТ «Вогнетрив», ПрАТ «Запоріжсклофлюс», ПрАТ «Запоріжтрансорматор», ПАТ «Запорізьке кар’єроуправління», ПАТ «Запоріжкран», ПАТ «Електротехнологія»</w:t>
            </w:r>
            <w:r w:rsidRPr="00B22551">
              <w:rPr>
                <w:spacing w:val="1"/>
                <w:sz w:val="20"/>
                <w:szCs w:val="20"/>
              </w:rPr>
              <w:t xml:space="preserve"> два повні комплекти проектної документації в паперовому вигляді та кошторисну документацію на будівельні роботи – формат програмного комплексу АВК.</w:t>
            </w:r>
          </w:p>
          <w:p w:rsidR="006C17D3" w:rsidRPr="00B22551" w:rsidRDefault="006C17D3" w:rsidP="00E3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B22551">
              <w:rPr>
                <w:spacing w:val="1"/>
                <w:sz w:val="20"/>
                <w:szCs w:val="20"/>
              </w:rPr>
              <w:t>27.</w:t>
            </w:r>
            <w:r>
              <w:rPr>
                <w:spacing w:val="1"/>
                <w:sz w:val="20"/>
                <w:szCs w:val="20"/>
              </w:rPr>
              <w:t>2</w:t>
            </w:r>
            <w:r w:rsidRPr="00B22551">
              <w:rPr>
                <w:spacing w:val="1"/>
                <w:sz w:val="20"/>
                <w:szCs w:val="20"/>
              </w:rPr>
              <w:t>.</w:t>
            </w:r>
            <w:r w:rsidRPr="00B22551">
              <w:rPr>
                <w:spacing w:val="1"/>
                <w:sz w:val="20"/>
                <w:szCs w:val="20"/>
              </w:rPr>
              <w:tab/>
            </w:r>
            <w:proofErr w:type="gramStart"/>
            <w:r w:rsidRPr="00B22551">
              <w:rPr>
                <w:spacing w:val="1"/>
                <w:sz w:val="20"/>
                <w:szCs w:val="20"/>
              </w:rPr>
              <w:t>П</w:t>
            </w:r>
            <w:proofErr w:type="gramEnd"/>
            <w:r w:rsidRPr="00B22551">
              <w:rPr>
                <w:spacing w:val="1"/>
                <w:sz w:val="20"/>
                <w:szCs w:val="20"/>
              </w:rPr>
              <w:t>ісля погодження проектної документації Підрядник передає Замовнику: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1"/>
                <w:tab w:val="left" w:pos="394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pacing w:val="1"/>
                <w:sz w:val="20"/>
                <w:lang w:val="ru-RU" w:eastAsia="ru-RU"/>
              </w:rPr>
            </w:pPr>
            <w:r w:rsidRPr="001D08D8">
              <w:rPr>
                <w:spacing w:val="1"/>
                <w:sz w:val="20"/>
                <w:lang w:val="ru-RU" w:eastAsia="ru-RU"/>
              </w:rPr>
              <w:t xml:space="preserve">на паперовому (у чотирьох примірниках) та електронному носіях (в т.ч. креслень, схем, кошторисів </w:t>
            </w:r>
            <w:proofErr w:type="gramStart"/>
            <w:r w:rsidRPr="001D08D8">
              <w:rPr>
                <w:spacing w:val="1"/>
                <w:sz w:val="20"/>
                <w:lang w:val="ru-RU" w:eastAsia="ru-RU"/>
              </w:rPr>
              <w:t>в</w:t>
            </w:r>
            <w:proofErr w:type="gramEnd"/>
            <w:r w:rsidRPr="001D08D8">
              <w:rPr>
                <w:spacing w:val="1"/>
                <w:sz w:val="20"/>
                <w:lang w:val="ru-RU" w:eastAsia="ru-RU"/>
              </w:rPr>
              <w:t xml:space="preserve"> форматі *ims., тощо), засвідчена оригіналами </w:t>
            </w:r>
            <w:r w:rsidRPr="001D08D8">
              <w:rPr>
                <w:spacing w:val="1"/>
                <w:sz w:val="20"/>
                <w:lang w:val="ru-RU" w:eastAsia="ru-RU"/>
              </w:rPr>
              <w:lastRenderedPageBreak/>
              <w:t>підписів та мокрими печатками проектної організації)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1"/>
                <w:tab w:val="left" w:pos="394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pacing w:val="1"/>
                <w:sz w:val="20"/>
                <w:lang w:val="ru-RU" w:eastAsia="ru-RU"/>
              </w:rPr>
            </w:pPr>
            <w:r w:rsidRPr="001D08D8">
              <w:rPr>
                <w:spacing w:val="1"/>
                <w:sz w:val="20"/>
                <w:lang w:val="ru-RU" w:eastAsia="ru-RU"/>
              </w:rPr>
              <w:t xml:space="preserve">зведений кошторисний розрахунок вартості будівництва у 4-х примірниках засвідчений оригіналами </w:t>
            </w:r>
            <w:proofErr w:type="gramStart"/>
            <w:r w:rsidRPr="001D08D8">
              <w:rPr>
                <w:spacing w:val="1"/>
                <w:sz w:val="20"/>
                <w:lang w:val="ru-RU" w:eastAsia="ru-RU"/>
              </w:rPr>
              <w:t>п</w:t>
            </w:r>
            <w:proofErr w:type="gramEnd"/>
            <w:r w:rsidRPr="001D08D8">
              <w:rPr>
                <w:spacing w:val="1"/>
                <w:sz w:val="20"/>
                <w:lang w:val="ru-RU" w:eastAsia="ru-RU"/>
              </w:rPr>
              <w:t>ідписів та мокрими печатками (ГІПа та підрядної організації);</w:t>
            </w:r>
          </w:p>
          <w:p w:rsidR="006C17D3" w:rsidRPr="00B22551" w:rsidRDefault="006C17D3" w:rsidP="006C17D3">
            <w:pPr>
              <w:pStyle w:val="a5"/>
              <w:numPr>
                <w:ilvl w:val="0"/>
                <w:numId w:val="11"/>
              </w:numPr>
              <w:tabs>
                <w:tab w:val="left" w:pos="211"/>
                <w:tab w:val="left" w:pos="394"/>
              </w:tabs>
              <w:ind w:left="0" w:right="107" w:firstLine="0"/>
              <w:jc w:val="both"/>
              <w:rPr>
                <w:spacing w:val="1"/>
              </w:rPr>
            </w:pPr>
            <w:r w:rsidRPr="00B22551">
              <w:rPr>
                <w:spacing w:val="1"/>
              </w:rPr>
              <w:t>оригінали отриманих вихідних даних, технічних умов та листів-погоджень, о</w:t>
            </w:r>
            <w:r w:rsidRPr="00B22551">
              <w:t>ригінали Експертного звіту (позитивного) та додаток до нього.</w:t>
            </w:r>
          </w:p>
          <w:p w:rsidR="006C17D3" w:rsidRPr="00B22551" w:rsidRDefault="006C17D3" w:rsidP="00E3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B22551">
              <w:rPr>
                <w:spacing w:val="1"/>
                <w:sz w:val="20"/>
                <w:szCs w:val="20"/>
              </w:rPr>
              <w:t>27.</w:t>
            </w:r>
            <w:r>
              <w:rPr>
                <w:spacing w:val="1"/>
                <w:sz w:val="20"/>
                <w:szCs w:val="20"/>
              </w:rPr>
              <w:t>3</w:t>
            </w:r>
            <w:r w:rsidRPr="00B22551">
              <w:rPr>
                <w:spacing w:val="1"/>
                <w:sz w:val="20"/>
                <w:szCs w:val="20"/>
              </w:rPr>
              <w:t>.</w:t>
            </w:r>
            <w:r w:rsidRPr="00B22551">
              <w:rPr>
                <w:spacing w:val="1"/>
                <w:sz w:val="20"/>
                <w:szCs w:val="20"/>
              </w:rPr>
              <w:tab/>
            </w:r>
            <w:proofErr w:type="gramStart"/>
            <w:r w:rsidRPr="00B22551">
              <w:rPr>
                <w:spacing w:val="1"/>
                <w:sz w:val="20"/>
                <w:szCs w:val="20"/>
              </w:rPr>
              <w:t>П</w:t>
            </w:r>
            <w:proofErr w:type="gramEnd"/>
            <w:r w:rsidRPr="00B22551">
              <w:rPr>
                <w:spacing w:val="1"/>
                <w:sz w:val="20"/>
                <w:szCs w:val="20"/>
              </w:rPr>
              <w:t xml:space="preserve">ідряднику  виконати вимоги пункту 88 (який набрав чинності з 1 серпня 2021 р.) Порядку ведення Єдиної державної електронної системи у сфері будівництва (далі – Порядок), затвердженого постановою Кабінету Міністрів України від 23.07.2021 № 681, а саме проектна документація на будівництво об’єкта в електронній формі завантажується до електронної системи генеральним проектувальником (проектувальником) з накладенням ним електронного </w:t>
            </w:r>
            <w:proofErr w:type="gramStart"/>
            <w:r w:rsidRPr="00B22551">
              <w:rPr>
                <w:spacing w:val="1"/>
                <w:sz w:val="20"/>
                <w:szCs w:val="20"/>
              </w:rPr>
              <w:t>п</w:t>
            </w:r>
            <w:proofErr w:type="gramEnd"/>
            <w:r w:rsidRPr="00B22551">
              <w:rPr>
                <w:spacing w:val="1"/>
                <w:sz w:val="20"/>
                <w:szCs w:val="20"/>
              </w:rPr>
              <w:t xml:space="preserve">ідпису. На проектну документацію накладається </w:t>
            </w:r>
            <w:proofErr w:type="gramStart"/>
            <w:r w:rsidRPr="00B22551">
              <w:rPr>
                <w:spacing w:val="1"/>
                <w:sz w:val="20"/>
                <w:szCs w:val="20"/>
              </w:rPr>
              <w:t>п</w:t>
            </w:r>
            <w:proofErr w:type="gramEnd"/>
            <w:r w:rsidRPr="00B22551">
              <w:rPr>
                <w:spacing w:val="1"/>
                <w:sz w:val="20"/>
                <w:szCs w:val="20"/>
              </w:rPr>
              <w:t xml:space="preserve">ідпис головного архітектора та/або головного інженера, а на окремі розділи проектної документації на будівництво об’єкта також накладається електронний підпис осіб, які їх розробляли.  </w:t>
            </w:r>
            <w:proofErr w:type="gramStart"/>
            <w:r w:rsidRPr="00B22551">
              <w:rPr>
                <w:spacing w:val="1"/>
                <w:sz w:val="20"/>
                <w:szCs w:val="20"/>
              </w:rPr>
              <w:t>П</w:t>
            </w:r>
            <w:proofErr w:type="gramEnd"/>
            <w:r w:rsidRPr="00B22551">
              <w:rPr>
                <w:spacing w:val="1"/>
                <w:sz w:val="20"/>
                <w:szCs w:val="20"/>
              </w:rPr>
              <w:t>ісля завантаження та накладення електронних підписів проектувальників, Підряднику повідомити  Замовника про можливість вносить відомості про затвердження проектної документації через електронний кабінет та накладання електронного підпису Замовником.</w:t>
            </w:r>
          </w:p>
          <w:p w:rsidR="006C17D3" w:rsidRPr="00B22551" w:rsidRDefault="006C17D3" w:rsidP="00E36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kern w:val="24"/>
                <w:sz w:val="20"/>
                <w:szCs w:val="20"/>
              </w:rPr>
            </w:pPr>
            <w:r w:rsidRPr="00B22551">
              <w:rPr>
                <w:kern w:val="24"/>
                <w:sz w:val="20"/>
                <w:szCs w:val="20"/>
              </w:rPr>
              <w:t>27.</w:t>
            </w:r>
            <w:r>
              <w:rPr>
                <w:kern w:val="24"/>
                <w:sz w:val="20"/>
                <w:szCs w:val="20"/>
              </w:rPr>
              <w:t>4</w:t>
            </w:r>
            <w:r w:rsidRPr="00B22551">
              <w:rPr>
                <w:kern w:val="24"/>
                <w:sz w:val="20"/>
                <w:szCs w:val="20"/>
              </w:rPr>
              <w:t xml:space="preserve"> </w:t>
            </w:r>
            <w:proofErr w:type="gramStart"/>
            <w:r w:rsidRPr="00B22551">
              <w:rPr>
                <w:kern w:val="24"/>
                <w:sz w:val="20"/>
                <w:szCs w:val="20"/>
              </w:rPr>
              <w:t>П</w:t>
            </w:r>
            <w:proofErr w:type="gramEnd"/>
            <w:r w:rsidRPr="00B22551">
              <w:rPr>
                <w:kern w:val="24"/>
                <w:sz w:val="20"/>
                <w:szCs w:val="20"/>
              </w:rPr>
              <w:t>ідрядник забезпечує за власний рахунок проходження експертизи проектно-кошторисної документації в експертній організації та надає Замовнику позитивний висновок щодо розгляду кошторисної частини проектної документації або експертизи за усіма напрямками (комплексної) в залежності від класу наслідків для об’єкту, що проекту</w:t>
            </w:r>
            <w:r>
              <w:rPr>
                <w:kern w:val="24"/>
                <w:sz w:val="20"/>
                <w:szCs w:val="20"/>
              </w:rPr>
              <w:t>є</w:t>
            </w:r>
            <w:r w:rsidRPr="00B22551">
              <w:rPr>
                <w:kern w:val="24"/>
                <w:sz w:val="20"/>
                <w:szCs w:val="20"/>
              </w:rPr>
              <w:t>ться.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2787" w:type="dxa"/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77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Вимоги до кошторисної документації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6C17D3" w:rsidRPr="00B22551" w:rsidRDefault="006C17D3" w:rsidP="00E36E8D">
            <w:pPr>
              <w:tabs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Склад кошторисної документації повинен відповідати КНУ Настанова з визначення вартості будівництва. При складанні кошторисної документації врахувати: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616"/>
                <w:tab w:val="left" w:pos="976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Середньомісячну заробітну плату на 1 робітника в режимі повної зайнятості (з урахуванням показника середньомісячної норми тривалості робочого часу, встановленого центральним органом виконавчої влади з формування та забезпечення реалізації державної політики у сфері праці, та розряду робіт 3,8) – у розрахунку на одного штатного працівника за попередній звітний </w:t>
            </w:r>
            <w:proofErr w:type="gramStart"/>
            <w:r w:rsidRPr="001D08D8">
              <w:rPr>
                <w:sz w:val="20"/>
                <w:lang w:val="ru-RU" w:eastAsia="ru-RU"/>
              </w:rPr>
              <w:t>р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ік, що оприлюднюється центральним органом виконавчої влади в галузі статистики, збільшену на прогнозний індекс споживчих цін на поточний </w:t>
            </w:r>
            <w:proofErr w:type="gramStart"/>
            <w:r w:rsidRPr="001D08D8">
              <w:rPr>
                <w:sz w:val="20"/>
                <w:lang w:val="ru-RU" w:eastAsia="ru-RU"/>
              </w:rPr>
              <w:t>р</w:t>
            </w:r>
            <w:proofErr w:type="gramEnd"/>
            <w:r w:rsidRPr="001D08D8">
              <w:rPr>
                <w:sz w:val="20"/>
                <w:lang w:val="ru-RU" w:eastAsia="ru-RU"/>
              </w:rPr>
              <w:t>ік (у середньому до попереднього року), який є складовою основних прогнозних макропоказників економічного і соціального розвитку України, що схвалюються Кабінетом Міністрів України.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616"/>
                <w:tab w:val="left" w:pos="976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Усереднений показник для визначення розміру кошторисного прибутку відповідно КНУ Настанови з визначення вартості будівництва </w:t>
            </w:r>
            <w:proofErr w:type="gramStart"/>
            <w:r w:rsidRPr="001D08D8">
              <w:rPr>
                <w:sz w:val="20"/>
                <w:lang w:val="ru-RU" w:eastAsia="ru-RU"/>
              </w:rPr>
              <w:t>для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об’єктів будівництва Додаток 25 (пункт 4.38).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8"/>
              </w:numPr>
              <w:tabs>
                <w:tab w:val="left" w:pos="310"/>
                <w:tab w:val="left" w:pos="616"/>
                <w:tab w:val="left" w:pos="877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Усереднений показник для визначення розміру адміністративних витрат відповідно КНУ Настанови з визначення вартості будівництва </w:t>
            </w:r>
            <w:proofErr w:type="gramStart"/>
            <w:r w:rsidRPr="001D08D8">
              <w:rPr>
                <w:sz w:val="20"/>
                <w:lang w:val="ru-RU" w:eastAsia="ru-RU"/>
              </w:rPr>
              <w:t>для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об’єктів будівництва Додаток 27 (пункт 4.39).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310"/>
                <w:tab w:val="left" w:pos="616"/>
                <w:tab w:val="left" w:pos="877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Урахувати у главі 10 </w:t>
            </w:r>
            <w:r w:rsidRPr="001D08D8">
              <w:rPr>
                <w:b/>
                <w:sz w:val="20"/>
                <w:lang w:val="ru-RU" w:eastAsia="ru-RU"/>
              </w:rPr>
              <w:t>Утримання служби замовника та інжинірингові послуги</w:t>
            </w:r>
            <w:r w:rsidRPr="001D08D8">
              <w:rPr>
                <w:sz w:val="20"/>
                <w:lang w:val="ru-RU" w:eastAsia="ru-RU"/>
              </w:rPr>
              <w:t xml:space="preserve"> зведеного кошторисного розрахунку окремими рядками витрати на оплату услуг, пов’язаних з підготовкою робіт, їх здійсненням та введенням об’єктів </w:t>
            </w:r>
            <w:proofErr w:type="gramStart"/>
            <w:r w:rsidRPr="001D08D8">
              <w:rPr>
                <w:sz w:val="20"/>
                <w:lang w:val="ru-RU" w:eastAsia="ru-RU"/>
              </w:rPr>
              <w:t>в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експлуатацію, а саме: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6"/>
                <w:tab w:val="left" w:pos="616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включаючи витрати на технічний нагляд відповідно КНУ Настанови з визначення вартості будівництва для об’єктів будівництва (пункт 4.32) у розмі</w:t>
            </w:r>
            <w:proofErr w:type="gramStart"/>
            <w:r w:rsidRPr="001D08D8">
              <w:rPr>
                <w:sz w:val="20"/>
                <w:lang w:val="ru-RU" w:eastAsia="ru-RU"/>
              </w:rPr>
              <w:t>р</w:t>
            </w:r>
            <w:proofErr w:type="gramEnd"/>
            <w:r w:rsidRPr="001D08D8">
              <w:rPr>
                <w:sz w:val="20"/>
                <w:lang w:val="ru-RU" w:eastAsia="ru-RU"/>
              </w:rPr>
              <w:t>і 1,5% від гл.1-9 ЗКР);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6"/>
                <w:tab w:val="left" w:pos="616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урахувати витрати з оплати рахунків за погодження проектної документації;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6"/>
                <w:tab w:val="left" w:pos="616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кошторисну вартість додаткових робіт (в разі необхідності) зазначених </w:t>
            </w:r>
            <w:proofErr w:type="gramStart"/>
            <w:r w:rsidRPr="001D08D8">
              <w:rPr>
                <w:sz w:val="20"/>
                <w:lang w:val="ru-RU" w:eastAsia="ru-RU"/>
              </w:rPr>
              <w:t>у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пункті 5.7. КНУ НАСТАНОВИ з визначення вартості проектних, науково-проектних, вишукувальних робіт та експертизи проектної документації на будівництво (відповідно </w:t>
            </w:r>
            <w:proofErr w:type="gramStart"/>
            <w:r w:rsidRPr="001D08D8">
              <w:rPr>
                <w:sz w:val="20"/>
                <w:lang w:val="ru-RU" w:eastAsia="ru-RU"/>
              </w:rPr>
              <w:t>до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Договору);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616"/>
                <w:tab w:val="left" w:pos="877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Урахувати у главі 12 </w:t>
            </w:r>
            <w:r w:rsidRPr="001D08D8">
              <w:rPr>
                <w:b/>
                <w:sz w:val="20"/>
                <w:lang w:val="ru-RU" w:eastAsia="ru-RU"/>
              </w:rPr>
              <w:t>Проектні, експертиза та авторський нагляд</w:t>
            </w:r>
            <w:r w:rsidRPr="001D08D8">
              <w:rPr>
                <w:sz w:val="20"/>
                <w:lang w:val="ru-RU" w:eastAsia="ru-RU"/>
              </w:rPr>
              <w:t xml:space="preserve"> зведеного кошторисного розрахунку окремими рядками витрати </w:t>
            </w:r>
            <w:proofErr w:type="gramStart"/>
            <w:r w:rsidRPr="001D08D8">
              <w:rPr>
                <w:sz w:val="20"/>
                <w:lang w:val="ru-RU" w:eastAsia="ru-RU"/>
              </w:rPr>
              <w:t>на</w:t>
            </w:r>
            <w:proofErr w:type="gramEnd"/>
            <w:r w:rsidRPr="001D08D8">
              <w:rPr>
                <w:sz w:val="20"/>
                <w:lang w:val="ru-RU" w:eastAsia="ru-RU"/>
              </w:rPr>
              <w:t>: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6"/>
                <w:tab w:val="left" w:pos="616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здійснення авторського нагляду згідно з календарним графіком та кошторисом, складеним за формою 3-П;</w:t>
            </w:r>
          </w:p>
          <w:p w:rsidR="006C17D3" w:rsidRPr="00B22551" w:rsidRDefault="006C17D3" w:rsidP="00E36E8D">
            <w:pPr>
              <w:tabs>
                <w:tab w:val="left" w:pos="196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-</w:t>
            </w:r>
            <w:r w:rsidRPr="00B22551">
              <w:rPr>
                <w:sz w:val="20"/>
                <w:szCs w:val="20"/>
              </w:rPr>
              <w:tab/>
              <w:t xml:space="preserve">кошторисну вартість проектних робіт (відповідно </w:t>
            </w:r>
            <w:proofErr w:type="gramStart"/>
            <w:r w:rsidRPr="00B22551">
              <w:rPr>
                <w:sz w:val="20"/>
                <w:szCs w:val="20"/>
              </w:rPr>
              <w:t>до</w:t>
            </w:r>
            <w:proofErr w:type="gramEnd"/>
            <w:r w:rsidRPr="00B22551">
              <w:rPr>
                <w:sz w:val="20"/>
                <w:szCs w:val="20"/>
              </w:rPr>
              <w:t xml:space="preserve">  договору);</w:t>
            </w:r>
          </w:p>
          <w:p w:rsidR="006C17D3" w:rsidRPr="00B22551" w:rsidRDefault="006C17D3" w:rsidP="00E36E8D">
            <w:pPr>
              <w:tabs>
                <w:tab w:val="left" w:pos="196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-</w:t>
            </w:r>
            <w:r w:rsidRPr="00B22551">
              <w:rPr>
                <w:sz w:val="20"/>
                <w:szCs w:val="20"/>
              </w:rPr>
              <w:tab/>
              <w:t>вартість експертизи проектної документації.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616"/>
                <w:tab w:val="left" w:pos="677"/>
              </w:tabs>
              <w:autoSpaceDE w:val="0"/>
              <w:autoSpaceDN w:val="0"/>
              <w:adjustRightInd w:val="0"/>
              <w:ind w:left="0" w:right="107" w:firstLine="0"/>
              <w:contextualSpacing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Кошти на страхування ризиків усіх учасників будівництва, відповідно КНУ Настанови з визначення вартості будівництва </w:t>
            </w:r>
            <w:proofErr w:type="gramStart"/>
            <w:r w:rsidRPr="001D08D8">
              <w:rPr>
                <w:sz w:val="20"/>
                <w:lang w:val="ru-RU" w:eastAsia="ru-RU"/>
              </w:rPr>
              <w:t>для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об’єктів будівництва </w:t>
            </w:r>
            <w:r w:rsidRPr="001D08D8">
              <w:rPr>
                <w:sz w:val="20"/>
                <w:lang w:val="ru-RU" w:eastAsia="ru-RU"/>
              </w:rPr>
              <w:lastRenderedPageBreak/>
              <w:t>Додаток 28 Таблиця 3.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616"/>
                <w:tab w:val="left" w:pos="677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Кошти на покриття додаткових витрат, пов'язаних з інфляційними  процесами, відповідно КНУ  Настанови з визначення вартості будівництва </w:t>
            </w:r>
            <w:proofErr w:type="gramStart"/>
            <w:r w:rsidRPr="001D08D8">
              <w:rPr>
                <w:sz w:val="20"/>
                <w:lang w:val="ru-RU" w:eastAsia="ru-RU"/>
              </w:rPr>
              <w:t>для</w:t>
            </w:r>
            <w:proofErr w:type="gramEnd"/>
            <w:r w:rsidRPr="001D08D8">
              <w:rPr>
                <w:sz w:val="20"/>
                <w:lang w:val="ru-RU" w:eastAsia="ru-RU"/>
              </w:rPr>
              <w:t xml:space="preserve"> об’єктів будівництва п.4.41.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616"/>
                <w:tab w:val="left" w:pos="677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>Вартість устаткування виділяти в окремий кошторис «Придбання устаткування».</w:t>
            </w:r>
          </w:p>
          <w:p w:rsidR="006C17D3" w:rsidRPr="001D08D8" w:rsidRDefault="006C17D3" w:rsidP="006C17D3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616"/>
                <w:tab w:val="left" w:pos="677"/>
              </w:tabs>
              <w:autoSpaceDE w:val="0"/>
              <w:autoSpaceDN w:val="0"/>
              <w:adjustRightInd w:val="0"/>
              <w:ind w:left="0" w:right="107" w:firstLine="0"/>
              <w:jc w:val="both"/>
              <w:rPr>
                <w:sz w:val="20"/>
                <w:lang w:val="ru-RU" w:eastAsia="ru-RU"/>
              </w:rPr>
            </w:pPr>
            <w:r w:rsidRPr="001D08D8">
              <w:rPr>
                <w:sz w:val="20"/>
                <w:lang w:val="ru-RU" w:eastAsia="ru-RU"/>
              </w:rPr>
              <w:t xml:space="preserve">До ЗКР не включати витрати замовника, </w:t>
            </w:r>
            <w:proofErr w:type="gramStart"/>
            <w:r w:rsidRPr="001D08D8">
              <w:rPr>
                <w:sz w:val="20"/>
                <w:lang w:val="ru-RU" w:eastAsia="ru-RU"/>
              </w:rPr>
              <w:t>пов’язан</w:t>
            </w:r>
            <w:proofErr w:type="gramEnd"/>
            <w:r w:rsidRPr="001D08D8">
              <w:rPr>
                <w:sz w:val="20"/>
                <w:lang w:val="ru-RU" w:eastAsia="ru-RU"/>
              </w:rPr>
              <w:t>і з проведенням тендерів.</w:t>
            </w:r>
          </w:p>
        </w:tc>
      </w:tr>
      <w:tr w:rsidR="006C17D3" w:rsidRPr="00B22551" w:rsidTr="00E36E8D">
        <w:trPr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</w:tcPr>
          <w:p w:rsidR="006C17D3" w:rsidRPr="00B22551" w:rsidRDefault="006C17D3" w:rsidP="00E36E8D">
            <w:pPr>
              <w:shd w:val="clear" w:color="auto" w:fill="FFFFFF"/>
              <w:ind w:left="4" w:right="14" w:hanging="4"/>
              <w:rPr>
                <w:b/>
                <w:sz w:val="20"/>
                <w:szCs w:val="20"/>
              </w:rPr>
            </w:pPr>
            <w:r w:rsidRPr="00B22551">
              <w:rPr>
                <w:b/>
                <w:sz w:val="20"/>
                <w:szCs w:val="20"/>
              </w:rPr>
              <w:t>Вартість ПВР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shd w:val="clear" w:color="auto" w:fill="FFFFFF"/>
          </w:tcPr>
          <w:p w:rsidR="006C17D3" w:rsidRPr="00B22551" w:rsidRDefault="006C17D3" w:rsidP="00E36E8D">
            <w:pPr>
              <w:ind w:right="107"/>
              <w:jc w:val="both"/>
              <w:rPr>
                <w:spacing w:val="-2"/>
                <w:sz w:val="20"/>
                <w:szCs w:val="20"/>
              </w:rPr>
            </w:pPr>
            <w:r w:rsidRPr="00B22551">
              <w:rPr>
                <w:sz w:val="20"/>
                <w:szCs w:val="20"/>
              </w:rPr>
              <w:t>Визначити відповідно до КНУ НАСТАНОВА з визначення вартості проектних, науково-проектних, вишукувальних робіт та експертизи проектної документації на будівництво та чинних збірників ці</w:t>
            </w:r>
            <w:proofErr w:type="gramStart"/>
            <w:r w:rsidRPr="00B22551">
              <w:rPr>
                <w:sz w:val="20"/>
                <w:szCs w:val="20"/>
              </w:rPr>
              <w:t>н</w:t>
            </w:r>
            <w:proofErr w:type="gramEnd"/>
            <w:r w:rsidRPr="00B22551">
              <w:rPr>
                <w:sz w:val="20"/>
                <w:szCs w:val="20"/>
              </w:rPr>
              <w:t xml:space="preserve"> на проектно-вишукувальні роботи.</w:t>
            </w:r>
          </w:p>
        </w:tc>
      </w:tr>
    </w:tbl>
    <w:p w:rsidR="006C17D3" w:rsidRDefault="006C17D3" w:rsidP="006C17D3"/>
    <w:p w:rsidR="006C17D3" w:rsidRPr="00A31AA0" w:rsidRDefault="006C17D3" w:rsidP="006C17D3">
      <w:pPr>
        <w:jc w:val="right"/>
        <w:rPr>
          <w:b/>
          <w:highlight w:val="yellow"/>
        </w:rPr>
      </w:pPr>
    </w:p>
    <w:p w:rsidR="006C17D3" w:rsidRPr="00561E39" w:rsidRDefault="006C17D3" w:rsidP="006C17D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highlight w:val="yellow"/>
          <w:lang w:val="uk-UA"/>
        </w:rPr>
      </w:pPr>
    </w:p>
    <w:p w:rsidR="006C17D3" w:rsidRPr="006401FE" w:rsidRDefault="006C17D3" w:rsidP="006C17D3">
      <w:pPr>
        <w:jc w:val="center"/>
        <w:rPr>
          <w:color w:val="000000"/>
          <w:lang w:val="uk-UA" w:eastAsia="uk-UA"/>
        </w:rPr>
      </w:pPr>
      <w:r w:rsidRPr="006401FE"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t>Посада, прізвище, ініціали, підпис уповноваженої особи Учасника*</w:t>
      </w:r>
    </w:p>
    <w:p w:rsidR="006C17D3" w:rsidRPr="006401FE" w:rsidRDefault="006C17D3" w:rsidP="006C17D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lang w:val="uk-UA" w:eastAsia="ar-SA"/>
        </w:rPr>
      </w:pPr>
    </w:p>
    <w:p w:rsidR="006C17D3" w:rsidRDefault="006C17D3" w:rsidP="006C17D3">
      <w:r w:rsidRPr="006401FE"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  <w:t>*своїм  підписом учасник підтверджує відповідність послуг всім вищезазначеним вимогам.</w:t>
      </w:r>
    </w:p>
    <w:p w:rsidR="008D3A31" w:rsidRDefault="008D3A31"/>
    <w:sectPr w:rsidR="008D3A31" w:rsidSect="008D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0C"/>
    <w:multiLevelType w:val="multilevel"/>
    <w:tmpl w:val="7F345AD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">
    <w:nsid w:val="0A3B3562"/>
    <w:multiLevelType w:val="hybridMultilevel"/>
    <w:tmpl w:val="A894A526"/>
    <w:lvl w:ilvl="0" w:tplc="39E44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BD8"/>
    <w:multiLevelType w:val="multilevel"/>
    <w:tmpl w:val="C8B8B5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3">
    <w:nsid w:val="130F6AEA"/>
    <w:multiLevelType w:val="multilevel"/>
    <w:tmpl w:val="E346730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4">
    <w:nsid w:val="19D94242"/>
    <w:multiLevelType w:val="hybridMultilevel"/>
    <w:tmpl w:val="200853B2"/>
    <w:lvl w:ilvl="0" w:tplc="9B4EB0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87D9F"/>
    <w:multiLevelType w:val="multilevel"/>
    <w:tmpl w:val="14B4956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DD96B55"/>
    <w:multiLevelType w:val="hybridMultilevel"/>
    <w:tmpl w:val="DBF0229E"/>
    <w:lvl w:ilvl="0" w:tplc="325AE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1967"/>
    <w:multiLevelType w:val="hybridMultilevel"/>
    <w:tmpl w:val="6DCEF5BC"/>
    <w:lvl w:ilvl="0" w:tplc="325AED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B7E8C710">
      <w:numFmt w:val="bullet"/>
      <w:lvlText w:val="•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771C8D"/>
    <w:multiLevelType w:val="multilevel"/>
    <w:tmpl w:val="08E82B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>
    <w:nsid w:val="71186C3C"/>
    <w:multiLevelType w:val="multilevel"/>
    <w:tmpl w:val="2668D5F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0">
    <w:nsid w:val="75727557"/>
    <w:multiLevelType w:val="multilevel"/>
    <w:tmpl w:val="DD000A6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6C17D3"/>
    <w:rsid w:val="006C17D3"/>
    <w:rsid w:val="008D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6C17D3"/>
    <w:pPr>
      <w:ind w:left="708"/>
    </w:pPr>
    <w:rPr>
      <w:lang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6C17D3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annotation text"/>
    <w:basedOn w:val="a"/>
    <w:link w:val="a6"/>
    <w:uiPriority w:val="99"/>
    <w:unhideWhenUsed/>
    <w:rsid w:val="006C17D3"/>
    <w:rPr>
      <w:sz w:val="20"/>
      <w:szCs w:val="20"/>
      <w:lang w:val="uk-UA" w:eastAsia="uk-UA"/>
    </w:rPr>
  </w:style>
  <w:style w:type="character" w:customStyle="1" w:styleId="a6">
    <w:name w:val="Текст примечания Знак"/>
    <w:basedOn w:val="a0"/>
    <w:link w:val="a5"/>
    <w:uiPriority w:val="99"/>
    <w:rsid w:val="006C17D3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2024-02-21T07:31:00Z</dcterms:created>
  <dcterms:modified xsi:type="dcterms:W3CDTF">2024-02-21T07:31:00Z</dcterms:modified>
</cp:coreProperties>
</file>