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:rsidR="00CB394A" w:rsidRPr="004A12CB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4A12CB">
        <w:rPr>
          <w:b/>
          <w:lang w:val="uk-UA"/>
        </w:rPr>
        <w:t>__________________________________________</w:t>
      </w:r>
      <w:r w:rsidRPr="004A12CB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4A12CB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Фармацевтична продукція (Класифікація за ДК 021-2015 33600000-6 - Фармацевтична продукція (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Carbamazepine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Chlorpromazine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Chlorpromazine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Amitriptyline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Trifluoperazine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Olanzapine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Chlorprothixene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Benzobarbital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Zuclopenthixol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Quetiapine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Quetiapine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Trihexyphenidyl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Amisulpride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Mono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Bendazol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Fluocinolone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acetonide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Sulfanilamide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Aluminium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hydroxide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combinations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Comb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drug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Lincomycin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Lisinopril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and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amlodipine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Althaea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officinalis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Comb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drug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Phenol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M</w:t>
      </w:r>
      <w:bookmarkStart w:id="1" w:name="_GoBack"/>
      <w:bookmarkEnd w:id="1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agnesium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(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different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salts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in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combination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),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Diosmin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combinations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Acetylcysteine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Ambroxol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Molsidomine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Viride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nitens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Comb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drug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Paracetamol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combinations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excl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.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psycholeptics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Vaseline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Dexpanthenol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Amisulpride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 xml:space="preserve">, </w:t>
      </w:r>
      <w:proofErr w:type="spellStart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Amisulpride</w:t>
      </w:r>
      <w:proofErr w:type="spellEnd"/>
      <w:r w:rsidR="00FB40E3" w:rsidRPr="00FB40E3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))</w:t>
      </w:r>
    </w:p>
    <w:p w:rsidR="00CB394A" w:rsidRPr="004A12CB" w:rsidRDefault="000E0E1A" w:rsidP="00CB394A">
      <w:pPr>
        <w:pStyle w:val="Default"/>
        <w:ind w:right="142" w:firstLine="567"/>
        <w:jc w:val="both"/>
        <w:rPr>
          <w:lang w:val="uk-UA"/>
        </w:rPr>
      </w:pPr>
      <w:r w:rsidRPr="000E0E1A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3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613"/>
        <w:gridCol w:w="1985"/>
        <w:gridCol w:w="851"/>
        <w:gridCol w:w="1134"/>
        <w:gridCol w:w="1559"/>
        <w:gridCol w:w="1701"/>
      </w:tblGrid>
      <w:tr w:rsidR="00F04B8C" w:rsidRPr="00CD26BD" w:rsidTr="00EF6B7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A7420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№</w:t>
            </w:r>
          </w:p>
          <w:p w:rsidR="00F04B8C" w:rsidRPr="00CD26BD" w:rsidRDefault="00F04B8C" w:rsidP="00A7420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П/П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jc w:val="center"/>
              <w:rPr>
                <w:b/>
                <w:bCs/>
                <w:sz w:val="20"/>
                <w:lang w:val="uk-UA"/>
              </w:rPr>
            </w:pPr>
            <w:r w:rsidRPr="009C0AD1">
              <w:rPr>
                <w:b/>
                <w:bCs/>
                <w:sz w:val="20"/>
                <w:lang w:val="uk-UA"/>
              </w:rPr>
              <w:t>Торгівельна назва лікарського засобу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Од. </w:t>
            </w:r>
            <w:proofErr w:type="spellStart"/>
            <w:r>
              <w:rPr>
                <w:b/>
                <w:bCs/>
                <w:sz w:val="20"/>
                <w:lang w:val="uk-UA"/>
              </w:rPr>
              <w:t>вим</w:t>
            </w:r>
            <w:proofErr w:type="spellEnd"/>
            <w:r>
              <w:rPr>
                <w:b/>
                <w:bCs/>
                <w:sz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04B8C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Ціна</w:t>
            </w:r>
            <w:r>
              <w:rPr>
                <w:b/>
                <w:bCs/>
                <w:sz w:val="20"/>
                <w:lang w:val="uk-UA"/>
              </w:rPr>
              <w:t xml:space="preserve"> за одиницю</w:t>
            </w:r>
            <w:r w:rsidRPr="00CD26BD">
              <w:rPr>
                <w:b/>
                <w:bCs/>
                <w:sz w:val="20"/>
                <w:lang w:val="uk-UA"/>
              </w:rPr>
              <w:t xml:space="preserve"> (грн.)</w:t>
            </w:r>
          </w:p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u w:val="single"/>
                <w:lang w:val="uk-UA"/>
              </w:rPr>
              <w:t>з/без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04B8C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Ціна  всього (грн.)</w:t>
            </w:r>
          </w:p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u w:val="single"/>
                <w:lang w:val="uk-UA"/>
              </w:rPr>
            </w:pPr>
            <w:r>
              <w:rPr>
                <w:b/>
                <w:bCs/>
                <w:sz w:val="20"/>
                <w:u w:val="single"/>
                <w:lang w:val="uk-UA"/>
              </w:rPr>
              <w:t>з/без ПДВ</w:t>
            </w:r>
          </w:p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F04B8C" w:rsidRPr="00CD26BD" w:rsidTr="00A74204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  <w:r w:rsidRPr="00CD26BD">
              <w:rPr>
                <w:b/>
                <w:bCs/>
                <w:lang w:val="uk-UA"/>
              </w:rPr>
              <w:t>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Default="00F04B8C" w:rsidP="00A742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…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E91033" w:rsidRDefault="00F04B8C" w:rsidP="00A7420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rPr>
          <w:trHeight w:val="23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right"/>
              <w:rPr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Всього 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rPr>
          <w:trHeight w:val="23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right"/>
              <w:rPr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Всього з ПДВ*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 xml:space="preserve">Загальна вартість пропозиції: </w:t>
            </w:r>
            <w:r w:rsidRPr="00CD26BD">
              <w:rPr>
                <w:b/>
                <w:bCs/>
                <w:i/>
                <w:sz w:val="20"/>
                <w:lang w:val="uk-UA"/>
              </w:rPr>
              <w:t>прописом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rPr>
                <w:b/>
                <w:bCs/>
                <w:sz w:val="20"/>
                <w:lang w:val="uk-UA"/>
              </w:rPr>
            </w:pPr>
          </w:p>
        </w:tc>
      </w:tr>
    </w:tbl>
    <w:p w:rsidR="00CB394A" w:rsidRPr="004A12CB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:rsidR="00CB394A" w:rsidRPr="004A12CB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40157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CB394A" w:rsidRPr="004A12CB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4. </w:t>
      </w:r>
      <w:r w:rsidRPr="00940157">
        <w:rPr>
          <w:rFonts w:ascii="Times New Roman" w:hAnsi="Times New Roman" w:cs="Times New Roman"/>
          <w:b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 w:rsidRPr="00940157">
        <w:rPr>
          <w:rFonts w:ascii="Times New Roman" w:hAnsi="Times New Roman" w:cs="Times New Roman"/>
          <w:lang w:val="uk-UA"/>
        </w:rPr>
        <w:t xml:space="preserve">. </w:t>
      </w:r>
      <w:r w:rsidRPr="00940157">
        <w:rPr>
          <w:rFonts w:ascii="Times New Roman" w:hAnsi="Times New Roman" w:cs="Times New Roman"/>
          <w:b/>
          <w:lang w:val="uk-UA"/>
        </w:rPr>
        <w:t xml:space="preserve">У випадку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обгрунтуваної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необхідності строк для укладання договору може бути продовжений до 60 днів</w:t>
      </w:r>
      <w:r w:rsidRPr="00940157">
        <w:rPr>
          <w:rFonts w:ascii="Times New Roman" w:hAnsi="Times New Roman" w:cs="Times New Roman"/>
          <w:lang w:val="uk-UA"/>
        </w:rPr>
        <w:t>.</w:t>
      </w:r>
      <w:r w:rsidR="00CB394A" w:rsidRPr="004A12C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4A12CB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85CEF"/>
    <w:rsid w:val="000B5BBF"/>
    <w:rsid w:val="000C7CB4"/>
    <w:rsid w:val="000E0E1A"/>
    <w:rsid w:val="001110C2"/>
    <w:rsid w:val="00174F6E"/>
    <w:rsid w:val="001F7E76"/>
    <w:rsid w:val="00213AAF"/>
    <w:rsid w:val="002361B1"/>
    <w:rsid w:val="002525DE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24145"/>
    <w:rsid w:val="00473F91"/>
    <w:rsid w:val="0048346E"/>
    <w:rsid w:val="004A12CB"/>
    <w:rsid w:val="00501066"/>
    <w:rsid w:val="005473D7"/>
    <w:rsid w:val="0055568E"/>
    <w:rsid w:val="005748CC"/>
    <w:rsid w:val="005B2DA0"/>
    <w:rsid w:val="005D58EC"/>
    <w:rsid w:val="00605EDE"/>
    <w:rsid w:val="0062169E"/>
    <w:rsid w:val="00621F63"/>
    <w:rsid w:val="0063377F"/>
    <w:rsid w:val="006803C3"/>
    <w:rsid w:val="00697B83"/>
    <w:rsid w:val="006B5EA5"/>
    <w:rsid w:val="006D0024"/>
    <w:rsid w:val="007D461D"/>
    <w:rsid w:val="00815DF3"/>
    <w:rsid w:val="008202CC"/>
    <w:rsid w:val="00857D61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928C4"/>
    <w:rsid w:val="00AA2076"/>
    <w:rsid w:val="00AA2950"/>
    <w:rsid w:val="00AA7274"/>
    <w:rsid w:val="00AB3AFC"/>
    <w:rsid w:val="00AC1272"/>
    <w:rsid w:val="00AC3B39"/>
    <w:rsid w:val="00AE278A"/>
    <w:rsid w:val="00AF01AF"/>
    <w:rsid w:val="00B02419"/>
    <w:rsid w:val="00B303E1"/>
    <w:rsid w:val="00B371C5"/>
    <w:rsid w:val="00B736F3"/>
    <w:rsid w:val="00B95A93"/>
    <w:rsid w:val="00BE3FD7"/>
    <w:rsid w:val="00BF0D2F"/>
    <w:rsid w:val="00C2505E"/>
    <w:rsid w:val="00C64ECC"/>
    <w:rsid w:val="00C735A8"/>
    <w:rsid w:val="00C96087"/>
    <w:rsid w:val="00CB394A"/>
    <w:rsid w:val="00CD5006"/>
    <w:rsid w:val="00D23C6A"/>
    <w:rsid w:val="00D30A81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55616"/>
    <w:rsid w:val="00E94ABF"/>
    <w:rsid w:val="00EC142F"/>
    <w:rsid w:val="00EF6B7C"/>
    <w:rsid w:val="00F04B8C"/>
    <w:rsid w:val="00F13470"/>
    <w:rsid w:val="00F3200B"/>
    <w:rsid w:val="00F54C97"/>
    <w:rsid w:val="00F60015"/>
    <w:rsid w:val="00F837D5"/>
    <w:rsid w:val="00FB40E3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5E8AB-3032-4D1B-BCF8-535FCAA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Vladislav Gumenjuk</cp:lastModifiedBy>
  <cp:revision>102</cp:revision>
  <cp:lastPrinted>2022-12-05T09:57:00Z</cp:lastPrinted>
  <dcterms:created xsi:type="dcterms:W3CDTF">2020-03-28T09:32:00Z</dcterms:created>
  <dcterms:modified xsi:type="dcterms:W3CDTF">2024-04-16T09:17:00Z</dcterms:modified>
</cp:coreProperties>
</file>