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r w:rsidRPr="00502FEA">
        <w:rPr>
          <w:b/>
          <w:i/>
        </w:rPr>
        <w:t xml:space="preserve">Інформація та документи, що </w:t>
      </w:r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 xml:space="preserve">ідтверджують відповідність учасника кваліфікаційним критеріям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182B40" w:rsidRPr="00182B4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182B40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  <w:lang w:val="uk-UA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637078" w:rsidRPr="00BF647F" w:rsidRDefault="00637078" w:rsidP="00637078">
      <w:pPr>
        <w:shd w:val="clear" w:color="auto" w:fill="FFFFFF"/>
        <w:ind w:firstLine="567"/>
        <w:jc w:val="both"/>
        <w:rPr>
          <w:bCs/>
        </w:rPr>
      </w:pPr>
      <w:r w:rsidRPr="00BF647F">
        <w:rPr>
          <w:bCs/>
        </w:rPr>
        <w:t xml:space="preserve">Надати довідку (на бланку </w:t>
      </w:r>
      <w:proofErr w:type="gramStart"/>
      <w:r w:rsidRPr="00BF647F">
        <w:rPr>
          <w:bCs/>
        </w:rPr>
        <w:t>п</w:t>
      </w:r>
      <w:proofErr w:type="gramEnd"/>
      <w:r w:rsidRPr="00BF647F">
        <w:rPr>
          <w:bCs/>
        </w:rPr>
        <w:t>ідприємства) в довільній формі, у якій має бути наведена інформація про досвід виконання підприємством аналогічного договору (не менше двох). Обов’язково зазначити: № договору, назву предмету договору, термін виконання договору (початок, закінчення); реквізити Замовника (назва, код ЄДРПОУ, поштова адреса, телефони), стан виконання договору.</w:t>
      </w:r>
    </w:p>
    <w:p w:rsidR="00637078" w:rsidRPr="00BF647F" w:rsidRDefault="00637078" w:rsidP="00637078">
      <w:pPr>
        <w:shd w:val="clear" w:color="auto" w:fill="FFFFFF"/>
        <w:jc w:val="both"/>
        <w:rPr>
          <w:bCs/>
        </w:rPr>
      </w:pPr>
      <w:proofErr w:type="gramStart"/>
      <w:r w:rsidRPr="00BF647F">
        <w:rPr>
          <w:bCs/>
        </w:rPr>
        <w:t>П</w:t>
      </w:r>
      <w:proofErr w:type="gramEnd"/>
      <w:r w:rsidRPr="00BF647F">
        <w:rPr>
          <w:bCs/>
        </w:rPr>
        <w:t>ід аналогічним договором слід розуміти договір, укладений між сторонами не раніше 2019 року, предметом якого є послуги з капітального ремонту/реконструкції модульних індивідуальних теплопунктів (МІТП)/індивідуальних теплопунктів (ІТП).</w:t>
      </w:r>
    </w:p>
    <w:p w:rsidR="00637078" w:rsidRPr="00BF647F" w:rsidRDefault="00637078" w:rsidP="00637078">
      <w:pPr>
        <w:shd w:val="clear" w:color="auto" w:fill="FFFFFF"/>
        <w:jc w:val="both"/>
        <w:rPr>
          <w:bCs/>
        </w:rPr>
      </w:pPr>
      <w:r w:rsidRPr="00BF647F">
        <w:rPr>
          <w:bCs/>
        </w:rPr>
        <w:tab/>
        <w:t xml:space="preserve">На </w:t>
      </w:r>
      <w:proofErr w:type="gramStart"/>
      <w:r w:rsidRPr="00BF647F">
        <w:rPr>
          <w:bCs/>
        </w:rPr>
        <w:t>п</w:t>
      </w:r>
      <w:proofErr w:type="gramEnd"/>
      <w:r w:rsidRPr="00BF647F">
        <w:rPr>
          <w:bCs/>
        </w:rPr>
        <w:t>ідтвердження виконання аналогічного договору, надати завірені копії повністю виконаних аналогічних договорів, вказаних у довідці, разом із додатками, додатковими угодами тощо.</w:t>
      </w:r>
    </w:p>
    <w:p w:rsidR="00637078" w:rsidRPr="00BF647F" w:rsidRDefault="00637078" w:rsidP="00637078">
      <w:pPr>
        <w:shd w:val="clear" w:color="auto" w:fill="FFFFFF"/>
        <w:jc w:val="both"/>
        <w:rPr>
          <w:bCs/>
        </w:rPr>
      </w:pPr>
      <w:r w:rsidRPr="00BF647F">
        <w:rPr>
          <w:bCs/>
        </w:rPr>
        <w:tab/>
        <w:t xml:space="preserve">Разом із аналогічними договорами, на </w:t>
      </w:r>
      <w:proofErr w:type="gramStart"/>
      <w:r w:rsidRPr="00BF647F">
        <w:rPr>
          <w:bCs/>
        </w:rPr>
        <w:t>п</w:t>
      </w:r>
      <w:proofErr w:type="gramEnd"/>
      <w:r w:rsidRPr="00BF647F">
        <w:rPr>
          <w:bCs/>
        </w:rPr>
        <w:t>ідтвердження їх виконання, учасники   зобов’язані надати завірені копії актів виконаних робіт та/або актів приймання-передачі виконаних робіт (на суму виконаних зобов’язань) з підписами обох сторін, що підтверджують достовірність виконання аналогічних договорів, зазначених у довідці.</w:t>
      </w:r>
    </w:p>
    <w:p w:rsidR="00637078" w:rsidRPr="00BF647F" w:rsidRDefault="00637078" w:rsidP="00637078">
      <w:pPr>
        <w:shd w:val="clear" w:color="auto" w:fill="FFFFFF"/>
        <w:jc w:val="both"/>
        <w:rPr>
          <w:bCs/>
        </w:rPr>
      </w:pPr>
      <w:r w:rsidRPr="00BF647F">
        <w:rPr>
          <w:bCs/>
        </w:rPr>
        <w:tab/>
        <w:t xml:space="preserve">Надати скан-копії оригіналів позитивних листів-відгуків </w:t>
      </w:r>
      <w:proofErr w:type="gramStart"/>
      <w:r w:rsidRPr="00BF647F">
        <w:rPr>
          <w:bCs/>
        </w:rPr>
        <w:t>в</w:t>
      </w:r>
      <w:proofErr w:type="gramEnd"/>
      <w:r w:rsidRPr="00BF647F">
        <w:rPr>
          <w:bCs/>
        </w:rPr>
        <w:t>ід замовників (за кожним з договорів) щодо успішності виконання учасником договірних зобов’язань.</w:t>
      </w:r>
    </w:p>
    <w:p w:rsidR="00637078" w:rsidRPr="00BF647F" w:rsidRDefault="00637078" w:rsidP="00637078">
      <w:pPr>
        <w:shd w:val="clear" w:color="auto" w:fill="FFFFFF"/>
        <w:jc w:val="both"/>
        <w:rPr>
          <w:bCs/>
        </w:rPr>
      </w:pPr>
      <w:r w:rsidRPr="00BF647F">
        <w:rPr>
          <w:bCs/>
        </w:rPr>
        <w:t xml:space="preserve">Примітка: 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>При наданні документів, Учасник може не показувати відомості, які можуть становити комерційну таємницю.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>* при наявності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Кваліфікаційний критерій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 xml:space="preserve">Перелік документів, що </w:t>
            </w:r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 інформацію про відповідність учасників таким критеріям</w:t>
            </w:r>
          </w:p>
        </w:tc>
      </w:tr>
      <w:tr w:rsidR="009C388D" w:rsidRPr="002F31A0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shd w:val="clear" w:color="auto" w:fill="FFFFFF"/>
              </w:rPr>
              <w:t xml:space="preserve">Наявність в учасника процедури </w:t>
            </w:r>
            <w:r w:rsidRPr="004B2DF0">
              <w:rPr>
                <w:b/>
                <w:shd w:val="clear" w:color="auto" w:fill="FFFFFF"/>
              </w:rPr>
              <w:lastRenderedPageBreak/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 обладнання, матеріально-технічної бази та технологій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78" w:rsidRPr="00637078" w:rsidRDefault="002F31A0" w:rsidP="005967A7">
            <w:pPr>
              <w:shd w:val="clear" w:color="auto" w:fill="FFFFFF" w:themeFill="background1"/>
              <w:jc w:val="both"/>
              <w:rPr>
                <w:shd w:val="clear" w:color="auto" w:fill="FFFFFF"/>
                <w:lang w:val="uk-UA" w:eastAsia="ar-SA"/>
              </w:rPr>
            </w:pPr>
            <w:r w:rsidRPr="00182B40">
              <w:rPr>
                <w:bCs/>
                <w:lang w:val="uk-UA"/>
              </w:rPr>
              <w:lastRenderedPageBreak/>
              <w:t xml:space="preserve">1.1.1. </w:t>
            </w:r>
            <w:r w:rsidR="00637078" w:rsidRPr="00637078">
              <w:rPr>
                <w:shd w:val="clear" w:color="auto" w:fill="FFFFFF"/>
                <w:lang w:val="uk-UA" w:eastAsia="ar-SA"/>
              </w:rPr>
              <w:t xml:space="preserve">Надати довідку (на бланку підприємства) щодо наявності, найменування обладнання/інструментів та устаткування, транспортних засобів (або механізмів) що безпосередньо необхідне для виконання </w:t>
            </w:r>
            <w:r w:rsidR="00637078" w:rsidRPr="00637078">
              <w:rPr>
                <w:shd w:val="clear" w:color="auto" w:fill="FFFFFF"/>
                <w:lang w:val="uk-UA" w:eastAsia="ar-SA"/>
              </w:rPr>
              <w:lastRenderedPageBreak/>
              <w:t>договору:</w:t>
            </w:r>
          </w:p>
          <w:p w:rsidR="00637078" w:rsidRPr="00637078" w:rsidRDefault="00637078" w:rsidP="005967A7">
            <w:pPr>
              <w:shd w:val="clear" w:color="auto" w:fill="FFFFFF" w:themeFill="background1"/>
              <w:suppressAutoHyphens/>
              <w:jc w:val="both"/>
              <w:rPr>
                <w:shd w:val="clear" w:color="auto" w:fill="FFFFFF"/>
                <w:lang w:val="uk-UA"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4"/>
              <w:gridCol w:w="2241"/>
              <w:gridCol w:w="2348"/>
            </w:tblGrid>
            <w:tr w:rsidR="00637078" w:rsidRPr="00BF647F" w:rsidTr="00CF2DBD"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078" w:rsidRPr="00BF647F" w:rsidRDefault="00637078" w:rsidP="005967A7">
                  <w:pPr>
                    <w:shd w:val="clear" w:color="auto" w:fill="FFFFFF" w:themeFill="background1"/>
                    <w:suppressAutoHyphens/>
                    <w:jc w:val="center"/>
                    <w:rPr>
                      <w:shd w:val="clear" w:color="auto" w:fill="FFFFFF"/>
                      <w:lang w:eastAsia="ar-SA"/>
                    </w:rPr>
                  </w:pPr>
                  <w:r w:rsidRPr="00BF647F">
                    <w:rPr>
                      <w:shd w:val="clear" w:color="auto" w:fill="FFFFFF"/>
                      <w:lang w:eastAsia="ar-SA"/>
                    </w:rPr>
                    <w:t>Найменування обладнання/інструментів транспортних засобів</w:t>
                  </w:r>
                </w:p>
                <w:p w:rsidR="00637078" w:rsidRPr="00BF647F" w:rsidRDefault="00637078" w:rsidP="005967A7">
                  <w:pPr>
                    <w:shd w:val="clear" w:color="auto" w:fill="FFFFFF" w:themeFill="background1"/>
                    <w:suppressAutoHyphens/>
                    <w:jc w:val="center"/>
                    <w:rPr>
                      <w:shd w:val="clear" w:color="auto" w:fill="FFFFFF"/>
                      <w:lang w:eastAsia="ar-SA"/>
                    </w:rPr>
                  </w:pPr>
                  <w:r w:rsidRPr="00BF647F">
                    <w:rPr>
                      <w:shd w:val="clear" w:color="auto" w:fill="FFFFFF"/>
                      <w:lang w:eastAsia="ar-SA"/>
                    </w:rPr>
                    <w:t>(або механізмів)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078" w:rsidRPr="00BF647F" w:rsidRDefault="00637078" w:rsidP="005967A7">
                  <w:pPr>
                    <w:shd w:val="clear" w:color="auto" w:fill="FFFFFF" w:themeFill="background1"/>
                    <w:suppressAutoHyphens/>
                    <w:jc w:val="center"/>
                    <w:rPr>
                      <w:shd w:val="clear" w:color="auto" w:fill="FFFFFF"/>
                      <w:lang w:eastAsia="ar-SA"/>
                    </w:rPr>
                  </w:pPr>
                  <w:r w:rsidRPr="00BF647F">
                    <w:rPr>
                      <w:shd w:val="clear" w:color="auto" w:fill="FFFFFF"/>
                      <w:lang w:eastAsia="ar-SA"/>
                    </w:rPr>
                    <w:t>Форма власності</w:t>
                  </w:r>
                </w:p>
                <w:p w:rsidR="00637078" w:rsidRPr="00BF647F" w:rsidRDefault="00637078" w:rsidP="005967A7">
                  <w:pPr>
                    <w:shd w:val="clear" w:color="auto" w:fill="FFFFFF" w:themeFill="background1"/>
                    <w:suppressAutoHyphens/>
                    <w:jc w:val="center"/>
                    <w:rPr>
                      <w:shd w:val="clear" w:color="auto" w:fill="FFFFFF"/>
                      <w:lang w:eastAsia="ar-SA"/>
                    </w:rPr>
                  </w:pPr>
                  <w:r w:rsidRPr="00BF647F">
                    <w:rPr>
                      <w:shd w:val="clear" w:color="auto" w:fill="FFFFFF"/>
                      <w:lang w:eastAsia="ar-SA"/>
                    </w:rPr>
                    <w:t>(власне, орендоване)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078" w:rsidRPr="00BF647F" w:rsidRDefault="00637078" w:rsidP="005967A7">
                  <w:pPr>
                    <w:shd w:val="clear" w:color="auto" w:fill="FFFFFF" w:themeFill="background1"/>
                    <w:suppressAutoHyphens/>
                    <w:jc w:val="center"/>
                    <w:rPr>
                      <w:shd w:val="clear" w:color="auto" w:fill="FFFFFF"/>
                      <w:lang w:eastAsia="ar-SA"/>
                    </w:rPr>
                  </w:pPr>
                  <w:r w:rsidRPr="00BF647F">
                    <w:rPr>
                      <w:shd w:val="clear" w:color="auto" w:fill="FFFFFF"/>
                      <w:lang w:eastAsia="ar-SA"/>
                    </w:rPr>
                    <w:t>Стан (нове, справний). Наявна кількість, од.</w:t>
                  </w:r>
                </w:p>
              </w:tc>
            </w:tr>
          </w:tbl>
          <w:p w:rsidR="00637078" w:rsidRPr="00BF647F" w:rsidRDefault="00637078" w:rsidP="005967A7">
            <w:pPr>
              <w:shd w:val="clear" w:color="auto" w:fill="FFFFFF" w:themeFill="background1"/>
              <w:suppressAutoHyphens/>
              <w:jc w:val="both"/>
              <w:rPr>
                <w:highlight w:val="green"/>
                <w:shd w:val="clear" w:color="auto" w:fill="FFFFFF"/>
                <w:lang w:eastAsia="ar-SA"/>
              </w:rPr>
            </w:pPr>
          </w:p>
          <w:p w:rsidR="00637078" w:rsidRPr="00BF647F" w:rsidRDefault="005967A7" w:rsidP="005967A7">
            <w:pPr>
              <w:shd w:val="clear" w:color="auto" w:fill="FFFFFF" w:themeFill="background1"/>
              <w:suppressAutoHyphens/>
              <w:jc w:val="both"/>
              <w:rPr>
                <w:highlight w:val="green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val="uk-UA" w:eastAsia="ar-SA"/>
              </w:rPr>
              <w:t>1</w:t>
            </w:r>
            <w:r w:rsidR="00637078" w:rsidRPr="00BF647F">
              <w:rPr>
                <w:shd w:val="clear" w:color="auto" w:fill="FFFFFF"/>
                <w:lang w:eastAsia="ar-SA"/>
              </w:rPr>
              <w:t xml:space="preserve">.1.2. Учасник повинен </w:t>
            </w:r>
            <w:proofErr w:type="gramStart"/>
            <w:r w:rsidR="00637078" w:rsidRPr="00BF647F">
              <w:rPr>
                <w:shd w:val="clear" w:color="auto" w:fill="FFFFFF"/>
                <w:lang w:eastAsia="ar-SA"/>
              </w:rPr>
              <w:t>п</w:t>
            </w:r>
            <w:proofErr w:type="gramEnd"/>
            <w:r w:rsidR="00637078" w:rsidRPr="00BF647F">
              <w:rPr>
                <w:shd w:val="clear" w:color="auto" w:fill="FFFFFF"/>
                <w:lang w:eastAsia="ar-SA"/>
              </w:rPr>
              <w:t xml:space="preserve">ідтвердити наведену інформацію щодо власності (оренди, тощо) на період виконання робіт наступними копіями можливих документів: договору купівлі-продажу або свідоцтва про право власності або договору оренди (з переліком обладнання/інструментів, метрологічного устаткування, транспортних засобів/механізмів) або договору на надання послуг (з переліком обладнання, інструментів, транспортних засобів, механізмів); витягу з оборотно-сальдової відомості учасника станом на дату оголошення про закупівлю або </w:t>
            </w:r>
            <w:proofErr w:type="gramStart"/>
            <w:r w:rsidR="00637078" w:rsidRPr="00BF647F">
              <w:rPr>
                <w:shd w:val="clear" w:color="auto" w:fill="FFFFFF"/>
                <w:lang w:eastAsia="ar-SA"/>
              </w:rPr>
              <w:t>п</w:t>
            </w:r>
            <w:proofErr w:type="gramEnd"/>
            <w:r w:rsidR="00637078" w:rsidRPr="00BF647F">
              <w:rPr>
                <w:shd w:val="clear" w:color="auto" w:fill="FFFFFF"/>
                <w:lang w:eastAsia="ar-SA"/>
              </w:rPr>
              <w:t xml:space="preserve">ізніше; технічних паспортів на автотранспорт чи інших реєстраційних документів із зазначенням власника). Якщо договори оренди, надання послуг рахуються пролонгованими, надати відповідне </w:t>
            </w:r>
            <w:proofErr w:type="gramStart"/>
            <w:r w:rsidR="00637078" w:rsidRPr="00BF647F">
              <w:rPr>
                <w:shd w:val="clear" w:color="auto" w:fill="FFFFFF"/>
                <w:lang w:eastAsia="ar-SA"/>
              </w:rPr>
              <w:t>п</w:t>
            </w:r>
            <w:proofErr w:type="gramEnd"/>
            <w:r w:rsidR="00637078" w:rsidRPr="00BF647F">
              <w:rPr>
                <w:shd w:val="clear" w:color="auto" w:fill="FFFFFF"/>
                <w:lang w:eastAsia="ar-SA"/>
              </w:rPr>
              <w:t>ідтвердження (додаткова угода або лист від учасника про пролонгацію на певний період, завірений орендодавцем).</w:t>
            </w:r>
          </w:p>
          <w:p w:rsidR="00637078" w:rsidRPr="00BF647F" w:rsidRDefault="005967A7" w:rsidP="005967A7">
            <w:pPr>
              <w:shd w:val="clear" w:color="auto" w:fill="FFFFFF" w:themeFill="background1"/>
              <w:suppressAutoHyphens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val="uk-UA" w:eastAsia="ar-SA"/>
              </w:rPr>
              <w:t>1</w:t>
            </w:r>
            <w:r w:rsidR="00637078" w:rsidRPr="00BF647F">
              <w:rPr>
                <w:shd w:val="clear" w:color="auto" w:fill="FFFFFF"/>
                <w:lang w:eastAsia="ar-SA"/>
              </w:rPr>
              <w:t>.1.3.</w:t>
            </w:r>
            <w:r w:rsidR="00637078" w:rsidRPr="00BF647F">
              <w:rPr>
                <w:lang w:eastAsia="ar-SA"/>
              </w:rPr>
              <w:t xml:space="preserve"> </w:t>
            </w:r>
            <w:r w:rsidR="00637078" w:rsidRPr="00BF647F">
              <w:rPr>
                <w:shd w:val="clear" w:color="auto" w:fill="FFFFFF"/>
                <w:lang w:eastAsia="ar-SA"/>
              </w:rPr>
              <w:t xml:space="preserve">Надати довідку (на бланку </w:t>
            </w:r>
            <w:proofErr w:type="gramStart"/>
            <w:r w:rsidR="00637078" w:rsidRPr="00BF647F">
              <w:rPr>
                <w:shd w:val="clear" w:color="auto" w:fill="FFFFFF"/>
                <w:lang w:eastAsia="ar-SA"/>
              </w:rPr>
              <w:t>п</w:t>
            </w:r>
            <w:proofErr w:type="gramEnd"/>
            <w:r w:rsidR="00637078" w:rsidRPr="00BF647F">
              <w:rPr>
                <w:shd w:val="clear" w:color="auto" w:fill="FFFFFF"/>
                <w:lang w:eastAsia="ar-SA"/>
              </w:rPr>
              <w:t>ідприємства у разі наявності) в довільній формі про наявність ремонтної бази.</w:t>
            </w:r>
          </w:p>
          <w:p w:rsidR="00637078" w:rsidRPr="00BF647F" w:rsidRDefault="005967A7" w:rsidP="005967A7">
            <w:pPr>
              <w:shd w:val="clear" w:color="auto" w:fill="FFFFFF" w:themeFill="background1"/>
              <w:suppressAutoHyphens/>
              <w:jc w:val="both"/>
              <w:rPr>
                <w:bCs/>
                <w:lang w:eastAsia="ar-SA"/>
              </w:rPr>
            </w:pPr>
            <w:r>
              <w:rPr>
                <w:shd w:val="clear" w:color="auto" w:fill="FFFFFF"/>
                <w:lang w:val="uk-UA" w:eastAsia="ar-SA"/>
              </w:rPr>
              <w:t>1</w:t>
            </w:r>
            <w:r w:rsidR="00637078" w:rsidRPr="00BF647F">
              <w:rPr>
                <w:shd w:val="clear" w:color="auto" w:fill="FFFFFF"/>
                <w:lang w:eastAsia="ar-SA"/>
              </w:rPr>
              <w:t xml:space="preserve">.1.4. </w:t>
            </w:r>
            <w:r w:rsidR="00637078" w:rsidRPr="00BF647F">
              <w:rPr>
                <w:bCs/>
                <w:lang w:eastAsia="ar-SA"/>
              </w:rPr>
              <w:t>Наявність в учасника метрологічного устаткування (власного чи орендованого), або наявність договору з організацією, яка має повноваження та право проводити метрологічну повірку засобів вимірювальної техніки (</w:t>
            </w:r>
            <w:proofErr w:type="gramStart"/>
            <w:r w:rsidR="00637078" w:rsidRPr="00BF647F">
              <w:rPr>
                <w:bCs/>
                <w:lang w:eastAsia="ar-SA"/>
              </w:rPr>
              <w:t>п</w:t>
            </w:r>
            <w:proofErr w:type="gramEnd"/>
            <w:r w:rsidR="00637078" w:rsidRPr="00BF647F">
              <w:rPr>
                <w:bCs/>
                <w:lang w:eastAsia="ar-SA"/>
              </w:rPr>
              <w:t>ідтвердити документально).</w:t>
            </w:r>
          </w:p>
          <w:p w:rsidR="009C388D" w:rsidRPr="00637078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B42C31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r w:rsidRPr="004B2DF0">
              <w:rPr>
                <w:b/>
                <w:shd w:val="clear" w:color="auto" w:fill="FFFFFF"/>
              </w:rPr>
              <w:t xml:space="preserve">Наявність в учасника процедури закупівлі працівників </w:t>
            </w:r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 кваліфікації, які мають необхідні знання та досвід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078" w:rsidRPr="005967A7" w:rsidRDefault="00B42C31" w:rsidP="00637078">
            <w:pPr>
              <w:jc w:val="both"/>
              <w:rPr>
                <w:bCs/>
              </w:rPr>
            </w:pPr>
            <w:r w:rsidRPr="005967A7">
              <w:rPr>
                <w:bCs/>
              </w:rPr>
              <w:t>2.</w:t>
            </w:r>
            <w:r w:rsidRPr="005967A7">
              <w:rPr>
                <w:bCs/>
                <w:lang w:val="uk-UA"/>
              </w:rPr>
              <w:t>2.1.</w:t>
            </w:r>
            <w:r w:rsidR="00182B40" w:rsidRPr="005967A7">
              <w:rPr>
                <w:bCs/>
              </w:rPr>
              <w:t xml:space="preserve"> </w:t>
            </w:r>
            <w:r w:rsidR="00637078" w:rsidRPr="005967A7">
              <w:rPr>
                <w:bCs/>
              </w:rPr>
              <w:t xml:space="preserve">Довідка у довільній формі про наявність працівників </w:t>
            </w:r>
            <w:proofErr w:type="gramStart"/>
            <w:r w:rsidR="00637078" w:rsidRPr="005967A7">
              <w:rPr>
                <w:bCs/>
              </w:rPr>
              <w:t>в</w:t>
            </w:r>
            <w:proofErr w:type="gramEnd"/>
            <w:r w:rsidR="00637078" w:rsidRPr="005967A7">
              <w:rPr>
                <w:bCs/>
              </w:rPr>
              <w:t xml:space="preserve">ідповідної кваліфікації, які мають необхідні знання та досвід, та які будуть залучені до виконання робіт, які є предметом закупівлі з зазначенням прізвища, ім’я, по батькові кожного з інженерно-технічних працівників та робітників основних професій, їх посад, інформації про їх освіту, </w:t>
            </w:r>
            <w:proofErr w:type="gramStart"/>
            <w:r w:rsidR="00637078" w:rsidRPr="005967A7">
              <w:rPr>
                <w:bCs/>
              </w:rPr>
              <w:t>спец</w:t>
            </w:r>
            <w:proofErr w:type="gramEnd"/>
            <w:r w:rsidR="00637078" w:rsidRPr="005967A7">
              <w:rPr>
                <w:bCs/>
              </w:rPr>
              <w:t>іальність та загальний досвід роботи за фахом.</w:t>
            </w:r>
          </w:p>
          <w:p w:rsidR="00637078" w:rsidRPr="001E372C" w:rsidRDefault="00637078" w:rsidP="00637078">
            <w:pPr>
              <w:jc w:val="both"/>
              <w:rPr>
                <w:b/>
                <w:bCs/>
                <w:i/>
              </w:rPr>
            </w:pPr>
            <w:r w:rsidRPr="001E372C">
              <w:rPr>
                <w:b/>
                <w:bCs/>
                <w:i/>
              </w:rPr>
              <w:t xml:space="preserve">Обов’язкова наявність наступних працівників: 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інженер (технік)-теплотехнік, або теплотехнік, або енергетик (не менше 3-х осіб);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інженер з налагоджування і випробувань КВП та автоматики, або налагоджувальник КВП і А, або технік-електрик (не менше 3-х осіб);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 xml:space="preserve">слюсар-сантехнік, або монтажник-сантехнік, або слюсар з виготовлення та ремонту трубопроводів (не менше 2-х осіб); 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електрогазозварник (не менше 1-ї особи);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головний інженер або енергетик;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 xml:space="preserve"> інженер з охорони праці;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сертифікований інженер-метролог, або метролог/головний метролог, або інженер з метрології (не менше 1-ї особи);</w:t>
            </w:r>
          </w:p>
          <w:p w:rsidR="00637078" w:rsidRPr="005967A7" w:rsidRDefault="005967A7" w:rsidP="00637078">
            <w:pPr>
              <w:jc w:val="both"/>
              <w:rPr>
                <w:bCs/>
              </w:rPr>
            </w:pPr>
            <w:r w:rsidRPr="005967A7">
              <w:rPr>
                <w:bCs/>
                <w:lang w:val="uk-UA"/>
              </w:rPr>
              <w:t>2</w:t>
            </w:r>
            <w:r w:rsidR="00637078" w:rsidRPr="005967A7">
              <w:rPr>
                <w:bCs/>
              </w:rPr>
              <w:t>.</w:t>
            </w:r>
            <w:r w:rsidRPr="005967A7">
              <w:rPr>
                <w:bCs/>
                <w:lang w:val="uk-UA"/>
              </w:rPr>
              <w:t>2.2.</w:t>
            </w:r>
            <w:r w:rsidR="00637078" w:rsidRPr="005967A7">
              <w:rPr>
                <w:bCs/>
              </w:rPr>
              <w:t xml:space="preserve"> На </w:t>
            </w:r>
            <w:proofErr w:type="gramStart"/>
            <w:r w:rsidR="00637078" w:rsidRPr="005967A7">
              <w:rPr>
                <w:bCs/>
              </w:rPr>
              <w:t>п</w:t>
            </w:r>
            <w:proofErr w:type="gramEnd"/>
            <w:r w:rsidR="00637078" w:rsidRPr="005967A7">
              <w:rPr>
                <w:bCs/>
              </w:rPr>
              <w:t>ідтвердження кваліфікації працівників зазначених в довідці надати (надати копії витягів з Протоколів засідання кваліфікаційної комісії з перевірки знань працівників та відповідних посвідчень):</w:t>
            </w:r>
          </w:p>
          <w:p w:rsidR="00637078" w:rsidRPr="005967A7" w:rsidRDefault="005967A7" w:rsidP="005967A7">
            <w:pPr>
              <w:jc w:val="both"/>
              <w:rPr>
                <w:bCs/>
              </w:rPr>
            </w:pPr>
            <w:r w:rsidRPr="005967A7">
              <w:rPr>
                <w:bCs/>
                <w:lang w:val="uk-UA"/>
              </w:rPr>
              <w:t>2</w:t>
            </w:r>
            <w:r w:rsidR="00637078" w:rsidRPr="005967A7">
              <w:rPr>
                <w:bCs/>
              </w:rPr>
              <w:t>.</w:t>
            </w:r>
            <w:r w:rsidRPr="005967A7">
              <w:rPr>
                <w:bCs/>
                <w:lang w:val="uk-UA"/>
              </w:rPr>
              <w:t>2.</w:t>
            </w:r>
            <w:r w:rsidR="001E372C">
              <w:rPr>
                <w:bCs/>
                <w:lang w:val="uk-UA"/>
              </w:rPr>
              <w:t>2</w:t>
            </w:r>
            <w:r w:rsidRPr="005967A7">
              <w:rPr>
                <w:bCs/>
                <w:lang w:val="uk-UA"/>
              </w:rPr>
              <w:t>.</w:t>
            </w:r>
            <w:r w:rsidR="001E372C">
              <w:rPr>
                <w:bCs/>
                <w:lang w:val="uk-UA"/>
              </w:rPr>
              <w:t>1.</w:t>
            </w:r>
            <w:r w:rsidR="00637078" w:rsidRPr="005967A7">
              <w:rPr>
                <w:bCs/>
              </w:rPr>
              <w:t xml:space="preserve"> Інженер (технік</w:t>
            </w:r>
            <w:proofErr w:type="gramStart"/>
            <w:r w:rsidR="00637078" w:rsidRPr="005967A7">
              <w:rPr>
                <w:bCs/>
              </w:rPr>
              <w:t>)-</w:t>
            </w:r>
            <w:proofErr w:type="gramEnd"/>
            <w:r w:rsidR="00637078" w:rsidRPr="005967A7">
              <w:rPr>
                <w:bCs/>
              </w:rPr>
              <w:t>теплотехнік, або теплотехнік, або енергетик (не менше 3-х осіб).</w:t>
            </w:r>
          </w:p>
          <w:p w:rsidR="00637078" w:rsidRPr="005967A7" w:rsidRDefault="00637078" w:rsidP="005967A7">
            <w:pPr>
              <w:jc w:val="both"/>
              <w:rPr>
                <w:bCs/>
              </w:rPr>
            </w:pPr>
            <w:r w:rsidRPr="005967A7">
              <w:rPr>
                <w:bCs/>
              </w:rPr>
              <w:t>Особи повинні мати посвідчення та витяг з протоколу засідання кваліфікаційної</w:t>
            </w:r>
            <w:r w:rsidR="005967A7">
              <w:rPr>
                <w:bCs/>
                <w:lang w:val="uk-UA"/>
              </w:rPr>
              <w:t xml:space="preserve"> </w:t>
            </w:r>
            <w:r w:rsidRPr="005967A7">
              <w:rPr>
                <w:bCs/>
              </w:rPr>
              <w:t xml:space="preserve">комісії, які </w:t>
            </w:r>
            <w:proofErr w:type="gramStart"/>
            <w:r w:rsidRPr="005967A7">
              <w:rPr>
                <w:bCs/>
              </w:rPr>
              <w:t>п</w:t>
            </w:r>
            <w:proofErr w:type="gramEnd"/>
            <w:r w:rsidRPr="005967A7">
              <w:rPr>
                <w:bCs/>
              </w:rPr>
              <w:t>ідтверджують знання: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lastRenderedPageBreak/>
              <w:t>Правил охорони праці під час експлуатації тепломеханічного обладнання електростанцій, теплових мереж і тепловикористовуючих установок (НПАОП 0.00-1.69-13);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Правил користування тепловою енергією (ПКТЕ);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Правил підготовки теплових господарств до опалювального періоду (ППТГ до ОП);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Правил технічної експлуатації теплових установок і мереж (ПТЕ ТУ і М);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Правил улаштування електроустановок (ПУЕ);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Правил технічної експлуатації електроустановок споживачів (ПТЕЕС);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безпечної експлуатації електроустановок споживачів (ПБЕЕС);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експлуатації електрозахисних засобів (ПЕЕЗ);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Мати групу електробезпеки не нижче 2-ої;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пожежної безпеки.</w:t>
            </w:r>
          </w:p>
          <w:p w:rsidR="00637078" w:rsidRPr="005967A7" w:rsidRDefault="001E372C" w:rsidP="005967A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2.2.2</w:t>
            </w:r>
            <w:r w:rsidR="00637078" w:rsidRPr="005967A7">
              <w:rPr>
                <w:rFonts w:eastAsia="Calibri"/>
              </w:rPr>
              <w:t>.</w:t>
            </w:r>
            <w:r>
              <w:rPr>
                <w:rFonts w:eastAsia="Calibri"/>
                <w:lang w:val="uk-UA"/>
              </w:rPr>
              <w:t>2.</w:t>
            </w:r>
            <w:r w:rsidR="00637078" w:rsidRPr="005967A7">
              <w:rPr>
                <w:rFonts w:eastAsia="Calibri"/>
              </w:rPr>
              <w:t xml:space="preserve"> Інженер з налагоджування і випробувань КВП та автоматики, або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налагоджувальник КВП і А, або технік-електрик (не менше 3-х осіб). Особи</w:t>
            </w:r>
            <w:r w:rsidR="005967A7" w:rsidRPr="005967A7"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повинні мати посвідчення та витяг з протоколу засідання кваліфікаційної комісії,</w:t>
            </w:r>
            <w:r w:rsidR="005967A7" w:rsidRPr="005967A7"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які підтверджують знання: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улаштування електроустановок (ПУЕ);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технічної експлуатації електроустановок споживачів (ПТЕЕС);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безпечної експлуатації електроустановок споживачів (ПБЕЕС);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експлуатації електрозахисних засобів (ПЕЕЗ);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Мати групу електробезпеки не нижче 2-ої.</w:t>
            </w:r>
          </w:p>
          <w:p w:rsidR="00637078" w:rsidRPr="005967A7" w:rsidRDefault="001E372C" w:rsidP="005967A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2.2.2.3</w:t>
            </w:r>
            <w:r w:rsidR="005967A7" w:rsidRPr="005967A7">
              <w:rPr>
                <w:rFonts w:eastAsia="Calibri"/>
                <w:lang w:val="uk-UA"/>
              </w:rPr>
              <w:t>.</w:t>
            </w:r>
            <w:r w:rsidR="00637078" w:rsidRPr="005967A7">
              <w:rPr>
                <w:rFonts w:eastAsia="Calibri"/>
              </w:rPr>
              <w:t xml:space="preserve"> Слюсар-сантехнік, або монтажник-сантехнік, або слюсар з виготовлення та ремонту трубопроводів (не менше 2-х осіб). Особи повинні мати посвідчення та витяг з протоколу засідання кваліфікаційної комісії, які підтверджують знання: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охорони праці під час експлуатації тепломеханічного обладнання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електростанцій, теплових мереж і тепловикористовуючих установок (НПАОП 0.001.69-13);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користування тепловою енергією (ПКТЕ);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підготовки теплових господарств до опалювального періоду (ППТГ до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ОП);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технічної експлуатації теплових установок і мереж (ПТЕ ТУ і М);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улаштування електроустановок (ПУЕ);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технічної експлуатації електроустановок споживачів (ПТЕЕС);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 xml:space="preserve"> Правил безпечної експлуатації електроустановок споживачів (ПБЕЕС);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експлуатації електрозахисних засобів (ПЕЕЗ);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Мати групу електробезпеки не нижче 2-ої;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пожежної безпеки;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охорони праці під час експлуатації обладнання, яке працює під тиском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(НПАОП 0.00-1.81-18);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lastRenderedPageBreak/>
              <w:t>Правил охорони праці під час роботи з інструментом та пристроями (НПАОП 0.00-1.71-13).</w:t>
            </w:r>
          </w:p>
          <w:p w:rsidR="00637078" w:rsidRPr="005967A7" w:rsidRDefault="001E372C" w:rsidP="005967A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2.2.2</w:t>
            </w:r>
            <w:r w:rsidR="00637078" w:rsidRPr="005967A7">
              <w:rPr>
                <w:rFonts w:eastAsia="Calibri"/>
              </w:rPr>
              <w:t>.</w:t>
            </w:r>
            <w:r>
              <w:rPr>
                <w:rFonts w:eastAsia="Calibri"/>
                <w:lang w:val="uk-UA"/>
              </w:rPr>
              <w:t>4.</w:t>
            </w:r>
            <w:r w:rsidR="00637078" w:rsidRPr="005967A7">
              <w:rPr>
                <w:rFonts w:eastAsia="Calibri"/>
              </w:rPr>
              <w:t xml:space="preserve"> Електрогазозварник (не менше 1-ї особи). Особи повинні мати посвідчення та</w:t>
            </w:r>
            <w:r w:rsidR="005967A7"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 xml:space="preserve">витяг з протоколу засідання кваліфікаційної комісії, які </w:t>
            </w:r>
            <w:proofErr w:type="gramStart"/>
            <w:r w:rsidR="00637078" w:rsidRPr="005967A7">
              <w:rPr>
                <w:rFonts w:eastAsia="Calibri"/>
              </w:rPr>
              <w:t>п</w:t>
            </w:r>
            <w:proofErr w:type="gramEnd"/>
            <w:r w:rsidR="00637078" w:rsidRPr="005967A7">
              <w:rPr>
                <w:rFonts w:eastAsia="Calibri"/>
              </w:rPr>
              <w:t>ідтверджують знання: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охорони праці під час експлуатації тепломеханічного обладнання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електростанцій, теплових мереж і тепловикористовуючих установок (НПАОП 0.001.69-13);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користування тепловою енергією (ПКТЕ);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підготовки теплових господарств до опалювального періоду (ППТГ до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ОП);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технічної експлуатації теплових установок і мереж (ПТЕ ТУ і М).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улаштування електроустановок (ПУЕ);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технічної експлуатації електроустановок споживачів (ПТЕЕС);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безпечної експлуатації електроустановок споживачів (ПБЕЕС);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експлуатації електрозахисних засобів (ПЕЕЗ);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Мати групу електробезпеки не нижче 2-ої;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пожежної безпеки;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охорони праці під час експлуатації обладнання, яке працює під тиском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(НПАОП 0.00-1.81-18);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охорони праці під час роботи з інструментом та пристроями (НПАОП</w:t>
            </w:r>
            <w:r w:rsidR="005967A7" w:rsidRPr="00D479BC">
              <w:rPr>
                <w:rFonts w:ascii="Times New Roman" w:hAnsi="Times New Roman"/>
              </w:rPr>
              <w:t xml:space="preserve"> </w:t>
            </w:r>
            <w:r w:rsidRPr="00D479BC">
              <w:rPr>
                <w:rFonts w:ascii="Times New Roman" w:hAnsi="Times New Roman"/>
              </w:rPr>
              <w:t>0.00-1.71-13);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Правил охорони праці під час зварювання металів (НПАОП 28.52-1.31-13);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Мати атестаційне посвідчення на відповідність вимогам НПАОП 0.00-1.16-96;</w:t>
            </w:r>
          </w:p>
          <w:p w:rsidR="00637078" w:rsidRPr="00D479BC" w:rsidRDefault="00637078" w:rsidP="005967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79BC">
              <w:rPr>
                <w:rFonts w:ascii="Times New Roman" w:hAnsi="Times New Roman"/>
              </w:rPr>
              <w:t>НПАОП 0.00-1.81-18; ДСТУ-Н Б В.2.5-66:2012; ДСТУ-Н Б В.2.5-68:2012; ДСТУ-НБ В.2.6-200:2014; ДСТУ Б В.2.6-199:2014.</w:t>
            </w:r>
          </w:p>
          <w:p w:rsidR="00637078" w:rsidRPr="005967A7" w:rsidRDefault="001E372C" w:rsidP="009C193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2.2.2</w:t>
            </w:r>
            <w:r w:rsidR="005967A7" w:rsidRPr="005967A7">
              <w:rPr>
                <w:rFonts w:eastAsia="Calibri"/>
                <w:lang w:val="uk-UA"/>
              </w:rPr>
              <w:t>.</w:t>
            </w:r>
            <w:r>
              <w:rPr>
                <w:rFonts w:eastAsia="Calibri"/>
                <w:lang w:val="uk-UA"/>
              </w:rPr>
              <w:t>5</w:t>
            </w:r>
            <w:r w:rsidR="00637078" w:rsidRPr="005967A7">
              <w:rPr>
                <w:rFonts w:eastAsia="Calibri"/>
              </w:rPr>
              <w:t xml:space="preserve"> Головний інженер або енергетик повинні мати посвідчення, які підтверджують</w:t>
            </w:r>
            <w:r w:rsidR="009C1934"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знання:</w:t>
            </w:r>
          </w:p>
          <w:p w:rsidR="00637078" w:rsidRPr="00101AB4" w:rsidRDefault="00637078" w:rsidP="009C1934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B4">
              <w:rPr>
                <w:rFonts w:ascii="Times New Roman" w:hAnsi="Times New Roman"/>
                <w:sz w:val="24"/>
                <w:szCs w:val="24"/>
              </w:rPr>
              <w:t>Загальних питань з охорони праці;</w:t>
            </w:r>
          </w:p>
          <w:p w:rsidR="00637078" w:rsidRPr="00101AB4" w:rsidRDefault="00637078" w:rsidP="009C1934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B4">
              <w:rPr>
                <w:rFonts w:ascii="Times New Roman" w:hAnsi="Times New Roman"/>
                <w:sz w:val="24"/>
                <w:szCs w:val="24"/>
              </w:rPr>
              <w:t>Загальних вимог стосовно забезпечення роботодавцями охорони праці робітників</w:t>
            </w:r>
            <w:r w:rsidR="005967A7" w:rsidRPr="0010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4">
              <w:rPr>
                <w:rFonts w:ascii="Times New Roman" w:hAnsi="Times New Roman"/>
                <w:sz w:val="24"/>
                <w:szCs w:val="24"/>
              </w:rPr>
              <w:t>(НПАОП 0.00-7.11-12);</w:t>
            </w:r>
          </w:p>
          <w:p w:rsidR="00637078" w:rsidRPr="00101AB4" w:rsidRDefault="00637078" w:rsidP="009C1934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B4">
              <w:rPr>
                <w:rFonts w:ascii="Times New Roman" w:hAnsi="Times New Roman"/>
                <w:sz w:val="24"/>
                <w:szCs w:val="24"/>
              </w:rPr>
              <w:t>Правил охорони праці під час експлуатації обладнання, яке працює під тиском</w:t>
            </w:r>
            <w:r w:rsidR="005967A7" w:rsidRPr="0010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4">
              <w:rPr>
                <w:rFonts w:ascii="Times New Roman" w:hAnsi="Times New Roman"/>
                <w:sz w:val="24"/>
                <w:szCs w:val="24"/>
              </w:rPr>
              <w:t>(НПАОП 0.00-1.81-18);</w:t>
            </w:r>
          </w:p>
          <w:p w:rsidR="00637078" w:rsidRPr="00101AB4" w:rsidRDefault="00637078" w:rsidP="009C1934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B4">
              <w:rPr>
                <w:rFonts w:ascii="Times New Roman" w:hAnsi="Times New Roman"/>
                <w:sz w:val="24"/>
                <w:szCs w:val="24"/>
              </w:rPr>
              <w:t>Правил охорони праці під час роботи з інструментом та пристроями (НПАОП</w:t>
            </w:r>
            <w:r w:rsidR="005967A7" w:rsidRPr="00101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4">
              <w:rPr>
                <w:rFonts w:ascii="Times New Roman" w:hAnsi="Times New Roman"/>
                <w:sz w:val="24"/>
                <w:szCs w:val="24"/>
              </w:rPr>
              <w:t>0.00-1.71-13);</w:t>
            </w:r>
          </w:p>
          <w:p w:rsidR="00637078" w:rsidRPr="00101AB4" w:rsidRDefault="00637078" w:rsidP="009C1934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B4">
              <w:rPr>
                <w:rFonts w:ascii="Times New Roman" w:hAnsi="Times New Roman"/>
                <w:sz w:val="24"/>
                <w:szCs w:val="24"/>
              </w:rPr>
              <w:t>Правил пожежної безпеки.</w:t>
            </w:r>
          </w:p>
          <w:p w:rsidR="00637078" w:rsidRPr="005967A7" w:rsidRDefault="005967A7" w:rsidP="009C1934">
            <w:pPr>
              <w:jc w:val="both"/>
              <w:rPr>
                <w:rFonts w:eastAsia="Calibri"/>
              </w:rPr>
            </w:pPr>
            <w:r w:rsidRPr="005967A7">
              <w:rPr>
                <w:rFonts w:eastAsia="Calibri"/>
              </w:rPr>
              <w:t>2.2</w:t>
            </w:r>
            <w:r w:rsidR="00637078" w:rsidRPr="005967A7">
              <w:rPr>
                <w:rFonts w:eastAsia="Calibri"/>
              </w:rPr>
              <w:t>.</w:t>
            </w:r>
            <w:r w:rsidR="001E372C">
              <w:rPr>
                <w:rFonts w:eastAsia="Calibri"/>
                <w:lang w:val="uk-UA"/>
              </w:rPr>
              <w:t>2</w:t>
            </w:r>
            <w:r w:rsidRPr="005967A7">
              <w:rPr>
                <w:rFonts w:eastAsia="Calibri"/>
              </w:rPr>
              <w:t>.</w:t>
            </w:r>
            <w:r w:rsidR="001E372C">
              <w:rPr>
                <w:rFonts w:eastAsia="Calibri"/>
                <w:lang w:val="uk-UA"/>
              </w:rPr>
              <w:t>6.</w:t>
            </w:r>
            <w:r w:rsidR="00637078" w:rsidRPr="005967A7">
              <w:rPr>
                <w:rFonts w:eastAsia="Calibri"/>
              </w:rPr>
              <w:t xml:space="preserve"> Інженер з охорони праці (не менше 1-ї особи). Особи повинні мати посвідчення</w:t>
            </w:r>
            <w:r>
              <w:t xml:space="preserve"> </w:t>
            </w:r>
            <w:r w:rsidR="00637078" w:rsidRPr="005967A7">
              <w:rPr>
                <w:rFonts w:eastAsia="Calibri"/>
              </w:rPr>
              <w:t xml:space="preserve">та витяг з протоколу засідання кваліфікаційної комісії, які </w:t>
            </w:r>
            <w:proofErr w:type="gramStart"/>
            <w:r w:rsidR="00637078" w:rsidRPr="005967A7">
              <w:rPr>
                <w:rFonts w:eastAsia="Calibri"/>
              </w:rPr>
              <w:t>п</w:t>
            </w:r>
            <w:proofErr w:type="gramEnd"/>
            <w:r w:rsidR="00637078" w:rsidRPr="005967A7">
              <w:rPr>
                <w:rFonts w:eastAsia="Calibri"/>
              </w:rPr>
              <w:t>ідтверджують знання:</w:t>
            </w:r>
            <w:r w:rsidR="009C1934"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- Загальних питань з охорони праці.</w:t>
            </w:r>
          </w:p>
          <w:p w:rsidR="00637078" w:rsidRPr="005967A7" w:rsidRDefault="005967A7" w:rsidP="008B6084">
            <w:pPr>
              <w:jc w:val="both"/>
              <w:rPr>
                <w:rFonts w:eastAsia="Calibri"/>
              </w:rPr>
            </w:pPr>
            <w:r w:rsidRPr="005967A7">
              <w:rPr>
                <w:rFonts w:eastAsia="Calibri"/>
                <w:lang w:val="uk-UA" w:eastAsia="en-US"/>
              </w:rPr>
              <w:t>2</w:t>
            </w:r>
            <w:r w:rsidR="00637078" w:rsidRPr="005967A7">
              <w:rPr>
                <w:rFonts w:eastAsia="Calibri"/>
                <w:lang w:eastAsia="en-US"/>
              </w:rPr>
              <w:t>.</w:t>
            </w:r>
            <w:r w:rsidR="001E372C">
              <w:rPr>
                <w:rFonts w:eastAsia="Calibri"/>
                <w:lang w:val="uk-UA" w:eastAsia="en-US"/>
              </w:rPr>
              <w:t>2.3</w:t>
            </w:r>
            <w:r w:rsidRPr="005967A7">
              <w:rPr>
                <w:rFonts w:eastAsia="Calibri"/>
                <w:lang w:val="uk-UA" w:eastAsia="en-US"/>
              </w:rPr>
              <w:t>.</w:t>
            </w:r>
            <w:r w:rsidR="00637078" w:rsidRPr="005967A7">
              <w:t xml:space="preserve"> </w:t>
            </w:r>
            <w:r w:rsidR="00637078" w:rsidRPr="005967A7">
              <w:rPr>
                <w:rFonts w:eastAsia="Calibri"/>
                <w:lang w:eastAsia="en-US"/>
              </w:rPr>
              <w:t xml:space="preserve">Надати копії відповідних документів, що </w:t>
            </w:r>
            <w:proofErr w:type="gramStart"/>
            <w:r w:rsidR="00637078" w:rsidRPr="005967A7">
              <w:rPr>
                <w:rFonts w:eastAsia="Calibri"/>
                <w:lang w:eastAsia="en-US"/>
              </w:rPr>
              <w:t>п</w:t>
            </w:r>
            <w:proofErr w:type="gramEnd"/>
            <w:r w:rsidR="00637078" w:rsidRPr="005967A7">
              <w:rPr>
                <w:rFonts w:eastAsia="Calibri"/>
                <w:lang w:eastAsia="en-US"/>
              </w:rPr>
              <w:t>ідтверджують освіту інженерно</w:t>
            </w:r>
            <w:r>
              <w:t xml:space="preserve"> </w:t>
            </w:r>
            <w:r w:rsidR="00637078" w:rsidRPr="005967A7">
              <w:rPr>
                <w:rFonts w:eastAsia="Calibri"/>
              </w:rPr>
              <w:t>технічних працівників, які будуть залучатися до виконання робіт. Наявність копій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відповідних документів, що підтверджують освіту, кваліфікацію або спеціальну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 xml:space="preserve">професійну підготовку робітників, які будуть залучатися до виконання робіт 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 xml:space="preserve">(дипломи, </w:t>
            </w:r>
            <w:proofErr w:type="gramStart"/>
            <w:r w:rsidR="00637078" w:rsidRPr="005967A7">
              <w:rPr>
                <w:rFonts w:eastAsia="Calibri"/>
              </w:rPr>
              <w:t>св</w:t>
            </w:r>
            <w:proofErr w:type="gramEnd"/>
            <w:r w:rsidR="00637078" w:rsidRPr="005967A7">
              <w:rPr>
                <w:rFonts w:eastAsia="Calibri"/>
              </w:rPr>
              <w:t xml:space="preserve">ідоцтва, </w:t>
            </w:r>
            <w:r w:rsidR="00637078" w:rsidRPr="005967A7">
              <w:rPr>
                <w:rFonts w:eastAsia="Calibri"/>
              </w:rPr>
              <w:lastRenderedPageBreak/>
              <w:t>посвідчення тощо, які вказують, яка робітнича кваліфікація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присвоєна робітнику з набутої професії відповідного розряду (класу, категорії,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групи) та інших документів підвищення кваліфікації, післядипломної освіти або</w:t>
            </w:r>
            <w:r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проходження навчальних курсів, які мають безпосереднє відношення до надання</w:t>
            </w:r>
            <w:r w:rsidR="008B6084">
              <w:rPr>
                <w:rFonts w:eastAsia="Calibri"/>
                <w:lang w:val="uk-UA"/>
              </w:rPr>
              <w:t xml:space="preserve"> </w:t>
            </w:r>
            <w:r w:rsidR="00637078" w:rsidRPr="005967A7">
              <w:rPr>
                <w:rFonts w:eastAsia="Calibri"/>
              </w:rPr>
              <w:t>даних послуг, завірені підписом та печаткою Учасника.</w:t>
            </w:r>
          </w:p>
          <w:p w:rsidR="00637078" w:rsidRPr="005967A7" w:rsidRDefault="005967A7" w:rsidP="00637078">
            <w:pPr>
              <w:jc w:val="both"/>
              <w:rPr>
                <w:rFonts w:eastAsia="Calibri"/>
                <w:lang w:eastAsia="en-US"/>
              </w:rPr>
            </w:pPr>
            <w:r w:rsidRPr="005967A7">
              <w:rPr>
                <w:rFonts w:eastAsia="Calibri"/>
                <w:lang w:val="uk-UA" w:eastAsia="en-US"/>
              </w:rPr>
              <w:t>2</w:t>
            </w:r>
            <w:r w:rsidR="00637078" w:rsidRPr="005967A7">
              <w:rPr>
                <w:rFonts w:eastAsia="Calibri"/>
                <w:lang w:eastAsia="en-US"/>
              </w:rPr>
              <w:t>.</w:t>
            </w:r>
            <w:r w:rsidR="001E372C">
              <w:rPr>
                <w:rFonts w:eastAsia="Calibri"/>
                <w:lang w:val="uk-UA" w:eastAsia="en-US"/>
              </w:rPr>
              <w:t>2.4</w:t>
            </w:r>
            <w:r w:rsidRPr="005967A7">
              <w:rPr>
                <w:rFonts w:eastAsia="Calibri"/>
                <w:lang w:val="uk-UA" w:eastAsia="en-US"/>
              </w:rPr>
              <w:t>.</w:t>
            </w:r>
            <w:r w:rsidR="00637078" w:rsidRPr="005967A7">
              <w:rPr>
                <w:rFonts w:eastAsia="Calibri"/>
                <w:lang w:eastAsia="en-US"/>
              </w:rPr>
              <w:t xml:space="preserve"> Обов’язкова наявність сертифікованого інженера-метролога, або метролога/головного метролога, або інженера з метрології (не менше 1-ї особи). Особи повинні мати посвідчення, які </w:t>
            </w:r>
            <w:proofErr w:type="gramStart"/>
            <w:r w:rsidR="00637078" w:rsidRPr="005967A7">
              <w:rPr>
                <w:rFonts w:eastAsia="Calibri"/>
                <w:lang w:eastAsia="en-US"/>
              </w:rPr>
              <w:t>п</w:t>
            </w:r>
            <w:proofErr w:type="gramEnd"/>
            <w:r w:rsidR="00637078" w:rsidRPr="005967A7">
              <w:rPr>
                <w:rFonts w:eastAsia="Calibri"/>
                <w:lang w:eastAsia="en-US"/>
              </w:rPr>
              <w:t>ідтверджують знання нормативної бази України у сфері метрологічної діяльності; мати кваліфікаційний сертифікат на право проведення повірки та калібрування засобів вимірювальної техніки теплотехнічних величин (надати завірені копії сертифіката та посвідчення).</w:t>
            </w:r>
          </w:p>
          <w:p w:rsidR="00637078" w:rsidRPr="005967A7" w:rsidRDefault="005967A7" w:rsidP="00637078">
            <w:pPr>
              <w:jc w:val="both"/>
              <w:rPr>
                <w:rFonts w:eastAsia="Calibri"/>
                <w:lang w:eastAsia="en-US"/>
              </w:rPr>
            </w:pPr>
            <w:r w:rsidRPr="005967A7">
              <w:rPr>
                <w:rFonts w:eastAsia="Calibri"/>
                <w:lang w:val="uk-UA" w:eastAsia="en-US"/>
              </w:rPr>
              <w:t>2</w:t>
            </w:r>
            <w:r w:rsidR="00637078" w:rsidRPr="005967A7">
              <w:rPr>
                <w:rFonts w:eastAsia="Calibri"/>
                <w:lang w:eastAsia="en-US"/>
              </w:rPr>
              <w:t>.</w:t>
            </w:r>
            <w:r w:rsidR="001E372C">
              <w:rPr>
                <w:rFonts w:eastAsia="Calibri"/>
                <w:lang w:val="uk-UA" w:eastAsia="en-US"/>
              </w:rPr>
              <w:t>2.5</w:t>
            </w:r>
            <w:r w:rsidRPr="005967A7">
              <w:rPr>
                <w:rFonts w:eastAsia="Calibri"/>
                <w:lang w:val="uk-UA" w:eastAsia="en-US"/>
              </w:rPr>
              <w:t>.</w:t>
            </w:r>
            <w:r w:rsidR="00637078" w:rsidRPr="005967A7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37078" w:rsidRPr="005967A7">
              <w:rPr>
                <w:rFonts w:eastAsia="Calibri"/>
                <w:lang w:eastAsia="en-US"/>
              </w:rPr>
              <w:t>П</w:t>
            </w:r>
            <w:proofErr w:type="gramEnd"/>
            <w:r w:rsidR="00637078" w:rsidRPr="005967A7">
              <w:rPr>
                <w:rFonts w:eastAsia="Calibri"/>
                <w:lang w:eastAsia="en-US"/>
              </w:rPr>
              <w:t xml:space="preserve">ідтвердити наявність кваліфікованого інженера-проектувальника - головного інженера проекту (інженерно-будівельне проектування в частині забезпечення  безпеки експлуатації, забезпечення захисту від шуму), надати завірену копію відповідного кваліфікаційного сертифікату. В разі наявності сертифікату старше п’яти років – додатково надати завірену копію </w:t>
            </w:r>
            <w:proofErr w:type="gramStart"/>
            <w:r w:rsidR="00637078" w:rsidRPr="005967A7">
              <w:rPr>
                <w:rFonts w:eastAsia="Calibri"/>
                <w:lang w:eastAsia="en-US"/>
              </w:rPr>
              <w:t>св</w:t>
            </w:r>
            <w:proofErr w:type="gramEnd"/>
            <w:r w:rsidR="00637078" w:rsidRPr="005967A7">
              <w:rPr>
                <w:rFonts w:eastAsia="Calibri"/>
                <w:lang w:eastAsia="en-US"/>
              </w:rPr>
              <w:t>ідоцтва про підвищення кваліфікації.</w:t>
            </w:r>
          </w:p>
          <w:p w:rsidR="00637078" w:rsidRPr="005967A7" w:rsidRDefault="005967A7" w:rsidP="00637078">
            <w:pPr>
              <w:jc w:val="both"/>
              <w:rPr>
                <w:rFonts w:eastAsia="Calibri"/>
                <w:highlight w:val="green"/>
                <w:lang w:eastAsia="en-US"/>
              </w:rPr>
            </w:pPr>
            <w:r w:rsidRPr="005967A7">
              <w:rPr>
                <w:rFonts w:eastAsia="Calibri"/>
                <w:lang w:val="uk-UA" w:eastAsia="en-US"/>
              </w:rPr>
              <w:t>2.2</w:t>
            </w:r>
            <w:r w:rsidR="00637078" w:rsidRPr="005967A7">
              <w:rPr>
                <w:rFonts w:eastAsia="Calibri"/>
                <w:lang w:eastAsia="en-US"/>
              </w:rPr>
              <w:t>.</w:t>
            </w:r>
            <w:r w:rsidR="001E372C">
              <w:rPr>
                <w:rFonts w:eastAsia="Calibri"/>
                <w:lang w:val="uk-UA" w:eastAsia="en-US"/>
              </w:rPr>
              <w:t>6</w:t>
            </w:r>
            <w:r w:rsidRPr="005967A7">
              <w:rPr>
                <w:rFonts w:eastAsia="Calibri"/>
                <w:lang w:val="uk-UA" w:eastAsia="en-US"/>
              </w:rPr>
              <w:t>.</w:t>
            </w:r>
            <w:r w:rsidR="00637078" w:rsidRPr="005967A7">
              <w:rPr>
                <w:rFonts w:eastAsia="Calibri"/>
                <w:lang w:eastAsia="en-US"/>
              </w:rPr>
              <w:t xml:space="preserve"> Надати документи на </w:t>
            </w:r>
            <w:proofErr w:type="gramStart"/>
            <w:r w:rsidR="00637078" w:rsidRPr="005967A7">
              <w:rPr>
                <w:rFonts w:eastAsia="Calibri"/>
                <w:lang w:eastAsia="en-US"/>
              </w:rPr>
              <w:t>п</w:t>
            </w:r>
            <w:proofErr w:type="gramEnd"/>
            <w:r w:rsidR="00637078" w:rsidRPr="005967A7">
              <w:rPr>
                <w:rFonts w:eastAsia="Calibri"/>
                <w:lang w:eastAsia="en-US"/>
              </w:rPr>
              <w:t xml:space="preserve">ідтвердження трудових взаємовідносин вищевказаних працівників із Учасником: завірені копії штатного розпису, наказів про прийняття на роботу, трудових договорів, першої та останніх двох сторінок трудових книжок. </w:t>
            </w:r>
          </w:p>
          <w:p w:rsidR="00637078" w:rsidRPr="005967A7" w:rsidRDefault="00637078" w:rsidP="008B6084">
            <w:pPr>
              <w:ind w:left="23" w:hanging="23"/>
              <w:jc w:val="both"/>
              <w:rPr>
                <w:rFonts w:eastAsia="Calibri"/>
                <w:lang w:eastAsia="en-US"/>
              </w:rPr>
            </w:pPr>
            <w:r w:rsidRPr="005967A7">
              <w:rPr>
                <w:rFonts w:eastAsia="Calibri"/>
                <w:lang w:eastAsia="en-US"/>
              </w:rPr>
              <w:t>*У разі надання на працівників наказів про призначення на роботу чи переведення</w:t>
            </w:r>
            <w:r w:rsidR="008B6084">
              <w:rPr>
                <w:rFonts w:eastAsia="Calibri"/>
                <w:lang w:val="uk-UA" w:eastAsia="en-US"/>
              </w:rPr>
              <w:t xml:space="preserve"> </w:t>
            </w:r>
            <w:r w:rsidRPr="005967A7">
              <w:rPr>
                <w:rFonts w:eastAsia="Calibri"/>
                <w:lang w:eastAsia="en-US"/>
              </w:rPr>
              <w:t>на займану посаду (у разі переведення), надати скан-копію повідомлення про</w:t>
            </w:r>
            <w:r w:rsidR="008B6084">
              <w:rPr>
                <w:rFonts w:eastAsia="Calibri"/>
                <w:lang w:val="uk-UA" w:eastAsia="en-US"/>
              </w:rPr>
              <w:t xml:space="preserve"> </w:t>
            </w:r>
            <w:r w:rsidRPr="005967A7">
              <w:rPr>
                <w:rFonts w:eastAsia="Calibri"/>
                <w:lang w:eastAsia="en-US"/>
              </w:rPr>
              <w:t>прийняття працівника на роботу за формою, згідно з додатком до Порядку</w:t>
            </w:r>
            <w:proofErr w:type="gramStart"/>
            <w:r w:rsidR="008B6084">
              <w:rPr>
                <w:rFonts w:eastAsia="Calibri"/>
                <w:lang w:val="uk-UA" w:eastAsia="en-US"/>
              </w:rPr>
              <w:t xml:space="preserve"> </w:t>
            </w:r>
            <w:r w:rsidRPr="005967A7">
              <w:rPr>
                <w:rFonts w:eastAsia="Calibri"/>
                <w:lang w:eastAsia="en-US"/>
              </w:rPr>
              <w:t>П</w:t>
            </w:r>
            <w:proofErr w:type="gramEnd"/>
            <w:r w:rsidRPr="005967A7">
              <w:rPr>
                <w:rFonts w:eastAsia="Calibri"/>
                <w:lang w:eastAsia="en-US"/>
              </w:rPr>
              <w:t>останови КМУ від 17.06.2015 № 413 «Про порядок повідомлення Державній</w:t>
            </w:r>
            <w:r w:rsidR="008B6084">
              <w:rPr>
                <w:rFonts w:eastAsia="Calibri"/>
                <w:lang w:val="uk-UA" w:eastAsia="en-US"/>
              </w:rPr>
              <w:t xml:space="preserve"> </w:t>
            </w:r>
            <w:r w:rsidRPr="005967A7">
              <w:rPr>
                <w:rFonts w:eastAsia="Calibri"/>
                <w:lang w:eastAsia="en-US"/>
              </w:rPr>
              <w:t xml:space="preserve">податковій службі та її територіальним органам про прийняття працівника </w:t>
            </w:r>
            <w:proofErr w:type="gramStart"/>
            <w:r w:rsidRPr="005967A7">
              <w:rPr>
                <w:rFonts w:eastAsia="Calibri"/>
                <w:lang w:eastAsia="en-US"/>
              </w:rPr>
              <w:t>на</w:t>
            </w:r>
            <w:proofErr w:type="gramEnd"/>
            <w:r w:rsidR="008B6084">
              <w:rPr>
                <w:rFonts w:eastAsia="Calibri"/>
                <w:lang w:val="uk-UA" w:eastAsia="en-US"/>
              </w:rPr>
              <w:t xml:space="preserve"> </w:t>
            </w:r>
            <w:r w:rsidRPr="005967A7">
              <w:rPr>
                <w:rFonts w:eastAsia="Calibri"/>
                <w:lang w:eastAsia="en-US"/>
              </w:rPr>
              <w:t>роботу». У разі, якщо даний накази видано до набрання чинност</w:t>
            </w:r>
            <w:proofErr w:type="gramStart"/>
            <w:r w:rsidRPr="005967A7">
              <w:rPr>
                <w:rFonts w:eastAsia="Calibri"/>
                <w:lang w:eastAsia="en-US"/>
              </w:rPr>
              <w:t>і П</w:t>
            </w:r>
            <w:proofErr w:type="gramEnd"/>
            <w:r w:rsidRPr="005967A7">
              <w:rPr>
                <w:rFonts w:eastAsia="Calibri"/>
                <w:lang w:eastAsia="en-US"/>
              </w:rPr>
              <w:t>останови КМУ</w:t>
            </w:r>
            <w:r w:rsidR="008B6084">
              <w:rPr>
                <w:rFonts w:eastAsia="Calibri"/>
                <w:lang w:val="uk-UA" w:eastAsia="en-US"/>
              </w:rPr>
              <w:t xml:space="preserve"> </w:t>
            </w:r>
            <w:r w:rsidRPr="005967A7">
              <w:rPr>
                <w:rFonts w:eastAsia="Calibri"/>
                <w:lang w:eastAsia="en-US"/>
              </w:rPr>
              <w:t>від 17.06.2015 №413 надати  копії трудових книжок.</w:t>
            </w:r>
          </w:p>
          <w:p w:rsidR="00637078" w:rsidRPr="005967A7" w:rsidRDefault="005967A7" w:rsidP="00637078">
            <w:pPr>
              <w:jc w:val="both"/>
              <w:rPr>
                <w:bCs/>
              </w:rPr>
            </w:pPr>
            <w:r w:rsidRPr="005967A7">
              <w:rPr>
                <w:bCs/>
                <w:lang w:val="uk-UA"/>
              </w:rPr>
              <w:t>2</w:t>
            </w:r>
            <w:r w:rsidR="00637078" w:rsidRPr="005967A7">
              <w:rPr>
                <w:bCs/>
              </w:rPr>
              <w:t>.</w:t>
            </w:r>
            <w:r w:rsidRPr="005967A7">
              <w:rPr>
                <w:bCs/>
                <w:lang w:val="uk-UA"/>
              </w:rPr>
              <w:t>2.</w:t>
            </w:r>
            <w:r w:rsidR="001E372C">
              <w:rPr>
                <w:bCs/>
                <w:lang w:val="uk-UA"/>
              </w:rPr>
              <w:t>7</w:t>
            </w:r>
            <w:r w:rsidRPr="005967A7">
              <w:rPr>
                <w:bCs/>
                <w:lang w:val="uk-UA"/>
              </w:rPr>
              <w:t>.</w:t>
            </w:r>
            <w:r w:rsidR="00637078" w:rsidRPr="005967A7">
              <w:rPr>
                <w:bCs/>
              </w:rPr>
              <w:t xml:space="preserve"> На працівників зазначених в довідці, що будуть безпосередньо залучені до виконання робіт з капітального ремонту, надати медичні книжки форми 1-ОМК затверджених Наказом МОЗ України № 150, в яких міститься відповідний запис </w:t>
            </w:r>
            <w:proofErr w:type="gramStart"/>
            <w:r w:rsidR="00637078" w:rsidRPr="005967A7">
              <w:rPr>
                <w:bCs/>
              </w:rPr>
              <w:t>п</w:t>
            </w:r>
            <w:proofErr w:type="gramEnd"/>
            <w:r w:rsidR="00637078" w:rsidRPr="005967A7">
              <w:rPr>
                <w:bCs/>
              </w:rPr>
              <w:t>ідтверджуючий вчасне проходження медичного огляду.</w:t>
            </w:r>
          </w:p>
          <w:p w:rsidR="00637078" w:rsidRPr="005967A7" w:rsidRDefault="005967A7" w:rsidP="00637078">
            <w:pPr>
              <w:shd w:val="clear" w:color="auto" w:fill="FFFFFF"/>
              <w:jc w:val="both"/>
              <w:rPr>
                <w:bCs/>
              </w:rPr>
            </w:pPr>
            <w:r w:rsidRPr="005967A7">
              <w:rPr>
                <w:bCs/>
                <w:lang w:val="uk-UA"/>
              </w:rPr>
              <w:t>2</w:t>
            </w:r>
            <w:r w:rsidR="00637078" w:rsidRPr="005967A7">
              <w:rPr>
                <w:bCs/>
              </w:rPr>
              <w:t>.</w:t>
            </w:r>
            <w:r w:rsidRPr="005967A7">
              <w:rPr>
                <w:bCs/>
                <w:lang w:val="uk-UA"/>
              </w:rPr>
              <w:t>2.</w:t>
            </w:r>
            <w:r w:rsidR="001E372C">
              <w:rPr>
                <w:bCs/>
                <w:lang w:val="uk-UA"/>
              </w:rPr>
              <w:t>8.</w:t>
            </w:r>
            <w:r w:rsidR="00637078" w:rsidRPr="005967A7">
              <w:rPr>
                <w:bCs/>
              </w:rPr>
              <w:t xml:space="preserve"> Наявність на </w:t>
            </w:r>
            <w:proofErr w:type="gramStart"/>
            <w:r w:rsidR="00637078" w:rsidRPr="005967A7">
              <w:rPr>
                <w:bCs/>
              </w:rPr>
              <w:t>п</w:t>
            </w:r>
            <w:proofErr w:type="gramEnd"/>
            <w:r w:rsidR="00637078" w:rsidRPr="005967A7">
              <w:rPr>
                <w:bCs/>
              </w:rPr>
              <w:t>ідприємстві сертифікованого інженера – проектувальника в частині кошторисної документації. Надати скан-копію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проектувальника.</w:t>
            </w:r>
          </w:p>
          <w:p w:rsidR="009C388D" w:rsidRPr="00182B40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4B2DF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078" w:rsidRPr="00BF647F" w:rsidRDefault="005D2036" w:rsidP="00637078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  <w:lang w:val="uk-UA"/>
              </w:rPr>
              <w:t>3</w:t>
            </w:r>
            <w:r w:rsidRPr="00DA2B1C">
              <w:rPr>
                <w:bCs/>
              </w:rPr>
              <w:t>.</w:t>
            </w:r>
            <w:r w:rsidRPr="00DA2B1C">
              <w:rPr>
                <w:bCs/>
                <w:lang w:val="uk-UA"/>
              </w:rPr>
              <w:t>3.</w:t>
            </w:r>
            <w:r w:rsidR="00BA34BB" w:rsidRPr="00DA2B1C">
              <w:rPr>
                <w:bCs/>
                <w:lang w:val="uk-UA"/>
              </w:rPr>
              <w:t>1</w:t>
            </w:r>
            <w:r w:rsidR="00B42C31" w:rsidRPr="00DA2B1C">
              <w:rPr>
                <w:bCs/>
              </w:rPr>
              <w:t>.</w:t>
            </w:r>
            <w:r w:rsidR="000877C3" w:rsidRPr="00DA2B1C">
              <w:rPr>
                <w:bCs/>
              </w:rPr>
              <w:t xml:space="preserve"> </w:t>
            </w:r>
            <w:r w:rsidR="00637078" w:rsidRPr="00BF647F">
              <w:rPr>
                <w:bCs/>
              </w:rPr>
              <w:t>Завірена копія ліцензії Учасника торгів на право виконання робіт з усіма додатками, у разі якщо предмет закупі</w:t>
            </w:r>
            <w:proofErr w:type="gramStart"/>
            <w:r w:rsidR="00637078" w:rsidRPr="00BF647F">
              <w:rPr>
                <w:bCs/>
              </w:rPr>
              <w:t>вл</w:t>
            </w:r>
            <w:proofErr w:type="gramEnd"/>
            <w:r w:rsidR="00637078" w:rsidRPr="00BF647F">
              <w:rPr>
                <w:bCs/>
              </w:rPr>
              <w:t>і передбачає провадження господарської діяльності, що підлягає ліцензуванню відповідно до вимог Закону України «Про ліцензування  видів  господарської діяльності».</w:t>
            </w:r>
          </w:p>
          <w:p w:rsidR="00637078" w:rsidRPr="00BF647F" w:rsidRDefault="008B6084" w:rsidP="0063707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3</w:t>
            </w:r>
            <w:r w:rsidR="00637078" w:rsidRPr="00BF647F">
              <w:rPr>
                <w:bCs/>
              </w:rPr>
              <w:t>.</w:t>
            </w:r>
            <w:r>
              <w:rPr>
                <w:bCs/>
                <w:lang w:val="uk-UA"/>
              </w:rPr>
              <w:t>3.2.</w:t>
            </w:r>
            <w:r w:rsidR="00637078" w:rsidRPr="00BF647F">
              <w:rPr>
                <w:bCs/>
              </w:rPr>
              <w:t xml:space="preserve"> Документи на </w:t>
            </w:r>
            <w:proofErr w:type="gramStart"/>
            <w:r w:rsidR="00637078" w:rsidRPr="00BF647F">
              <w:rPr>
                <w:bCs/>
              </w:rPr>
              <w:t>п</w:t>
            </w:r>
            <w:proofErr w:type="gramEnd"/>
            <w:r w:rsidR="00637078" w:rsidRPr="00BF647F">
              <w:rPr>
                <w:bCs/>
              </w:rPr>
              <w:t>ідтвердження ведення Учасником господарської діяльності: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Копія свідоцтва державної реєстрації юридичної особи або фізичної особи – підприємця;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lastRenderedPageBreak/>
              <w:t>Копія повного Витягу з Єдиного державного реєстру юридичних осіб, фізичних осіб-підприємців та громадських формувань, дата видачі – не раніше 30-ти календарних днів до дати подання пропозиції;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Копія довідки про визначення класифікаційних даних, виданої Головним управлінням статистики (для фізичних осіб-підприємців);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Копія довідки ЄДРПОУ (для юридичних осіб);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Копія Статуту останньої редакції (для юридичних осіб). Вимоги до Статуту: 1)Статут повинен містити відмітку державного реєстратора про проведення державної реєстрації. 2) У випадку відсутності відмітки державного реєстратора, Учасник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(ів). 3)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Копія паспорту (для фізичних осіб-підприємців);</w:t>
            </w:r>
          </w:p>
          <w:p w:rsidR="00637078" w:rsidRPr="00D479BC" w:rsidRDefault="00637078" w:rsidP="00D479BC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D479BC">
              <w:rPr>
                <w:rFonts w:ascii="Times New Roman" w:hAnsi="Times New Roman"/>
                <w:bCs/>
              </w:rPr>
              <w:t>Копія довідки про присвоєння ідентифікаційного коду (для фізичних осіб-підприємців).</w:t>
            </w:r>
          </w:p>
          <w:p w:rsidR="00637078" w:rsidRPr="00BF647F" w:rsidRDefault="008B6084" w:rsidP="0063707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3</w:t>
            </w:r>
            <w:r w:rsidR="00637078" w:rsidRPr="00BF647F">
              <w:rPr>
                <w:bCs/>
              </w:rPr>
              <w:t>.</w:t>
            </w:r>
            <w:r>
              <w:rPr>
                <w:bCs/>
                <w:lang w:val="uk-UA"/>
              </w:rPr>
              <w:t>3.3.</w:t>
            </w:r>
            <w:r w:rsidR="00637078" w:rsidRPr="00BF647F">
              <w:rPr>
                <w:bCs/>
              </w:rPr>
              <w:t xml:space="preserve"> Копі</w:t>
            </w:r>
            <w:proofErr w:type="gramStart"/>
            <w:r w:rsidR="00637078" w:rsidRPr="00BF647F">
              <w:rPr>
                <w:bCs/>
              </w:rPr>
              <w:t>я дов</w:t>
            </w:r>
            <w:proofErr w:type="gramEnd"/>
            <w:r w:rsidR="00637078" w:rsidRPr="00BF647F">
              <w:rPr>
                <w:bCs/>
              </w:rPr>
              <w:t>ідки з обслуговуючого банку про відсутність заборгованості за кредитами, дата видачі – не раніше 30-ти календарних днів до дати подання пропозиції.</w:t>
            </w:r>
          </w:p>
          <w:p w:rsidR="00637078" w:rsidRPr="00BF647F" w:rsidRDefault="008B6084" w:rsidP="0063707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3</w:t>
            </w:r>
            <w:r w:rsidR="00637078" w:rsidRPr="00BF647F">
              <w:rPr>
                <w:bCs/>
              </w:rPr>
              <w:t>.</w:t>
            </w:r>
            <w:r>
              <w:rPr>
                <w:bCs/>
                <w:lang w:val="uk-UA"/>
              </w:rPr>
              <w:t>3.4.</w:t>
            </w:r>
            <w:r w:rsidR="00637078" w:rsidRPr="00BF647F">
              <w:rPr>
                <w:bCs/>
              </w:rPr>
              <w:t xml:space="preserve"> Наявність чинного дозволу Держгірпромнагляду (Держпраці) на виконання робіт </w:t>
            </w:r>
            <w:proofErr w:type="gramStart"/>
            <w:r w:rsidR="00637078" w:rsidRPr="00BF647F">
              <w:rPr>
                <w:bCs/>
              </w:rPr>
              <w:t>п</w:t>
            </w:r>
            <w:proofErr w:type="gramEnd"/>
            <w:r w:rsidR="00637078" w:rsidRPr="00BF647F">
              <w:rPr>
                <w:bCs/>
              </w:rPr>
              <w:t xml:space="preserve">ідвищеної небезпеки: </w:t>
            </w:r>
          </w:p>
          <w:p w:rsidR="00637078" w:rsidRPr="00BF647F" w:rsidRDefault="00637078" w:rsidP="00637078">
            <w:pPr>
              <w:shd w:val="clear" w:color="auto" w:fill="FFFFFF"/>
              <w:jc w:val="both"/>
              <w:rPr>
                <w:bCs/>
              </w:rPr>
            </w:pPr>
            <w:r w:rsidRPr="00BF647F">
              <w:rPr>
                <w:bCs/>
              </w:rPr>
              <w:t xml:space="preserve">монтаж, демонтаж, налагодження, ремонт, технічне обслуговування устаткування </w:t>
            </w:r>
            <w:proofErr w:type="gramStart"/>
            <w:r w:rsidRPr="00BF647F">
              <w:rPr>
                <w:bCs/>
              </w:rPr>
              <w:t>п</w:t>
            </w:r>
            <w:proofErr w:type="gramEnd"/>
            <w:r w:rsidRPr="00BF647F">
              <w:rPr>
                <w:bCs/>
              </w:rPr>
              <w:t>ідвищеної небезпеки (трубопроводи пари та гарячої води з робочим тиском понад 0,05 МПа і температурою води вище 110°С, які підлягають реєстрації в територіальних органах Держпраці); газонебезпечні роботи; роботи в траншеях; зварювальні роботи.</w:t>
            </w:r>
          </w:p>
          <w:p w:rsidR="00637078" w:rsidRPr="00BF647F" w:rsidRDefault="008B6084" w:rsidP="0063707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3.3.5</w:t>
            </w:r>
            <w:r w:rsidR="00637078" w:rsidRPr="00BF647F">
              <w:rPr>
                <w:bCs/>
              </w:rPr>
              <w:t xml:space="preserve">. Наявність чинної декларації відповідності матеріально-технічної бази вимогам законодавства з питань охорони праці, видану Головним управлінням Держпраці (територіальними органами Держпраці) на виконання робіт </w:t>
            </w:r>
            <w:proofErr w:type="gramStart"/>
            <w:r w:rsidR="00637078" w:rsidRPr="00BF647F">
              <w:rPr>
                <w:bCs/>
              </w:rPr>
              <w:t>п</w:t>
            </w:r>
            <w:proofErr w:type="gramEnd"/>
            <w:r w:rsidR="00637078" w:rsidRPr="00BF647F">
              <w:rPr>
                <w:bCs/>
              </w:rPr>
              <w:t xml:space="preserve">ідвищеної небезпеки, які чинні при поданні пропозиції та діють до завершення надання послуг, а саме: Зварювальні роботи; </w:t>
            </w:r>
          </w:p>
          <w:p w:rsidR="00637078" w:rsidRPr="00BF647F" w:rsidRDefault="00637078" w:rsidP="00637078">
            <w:pPr>
              <w:shd w:val="clear" w:color="auto" w:fill="FFFFFF"/>
              <w:jc w:val="both"/>
              <w:rPr>
                <w:bCs/>
              </w:rPr>
            </w:pPr>
            <w:r w:rsidRPr="00BF647F">
              <w:rPr>
                <w:bCs/>
              </w:rPr>
              <w:t>Роботи що виконуються на висоті понад 1,3м.</w:t>
            </w:r>
          </w:p>
          <w:p w:rsidR="00637078" w:rsidRPr="00BF647F" w:rsidRDefault="008B6084" w:rsidP="0063707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3</w:t>
            </w:r>
            <w:r w:rsidR="00637078" w:rsidRPr="00BF647F">
              <w:rPr>
                <w:bCs/>
              </w:rPr>
              <w:t>.</w:t>
            </w:r>
            <w:r>
              <w:rPr>
                <w:bCs/>
                <w:lang w:val="uk-UA"/>
              </w:rPr>
              <w:t>3.6.</w:t>
            </w:r>
            <w:r w:rsidR="00637078" w:rsidRPr="00BF647F">
              <w:rPr>
                <w:bCs/>
              </w:rPr>
              <w:t xml:space="preserve"> Наявність чинної ліцензії, виданої Державною </w:t>
            </w:r>
            <w:proofErr w:type="gramStart"/>
            <w:r w:rsidR="00637078" w:rsidRPr="00BF647F">
              <w:rPr>
                <w:bCs/>
              </w:rPr>
              <w:t>арх</w:t>
            </w:r>
            <w:proofErr w:type="gramEnd"/>
            <w:r w:rsidR="00637078" w:rsidRPr="00BF647F">
              <w:rPr>
                <w:bCs/>
              </w:rPr>
              <w:t>ітектурно-будівельною інспекцією України, на виконання відповідних робіт, а саме:</w:t>
            </w:r>
          </w:p>
          <w:p w:rsidR="00637078" w:rsidRPr="00BF647F" w:rsidRDefault="00637078" w:rsidP="00637078">
            <w:pPr>
              <w:shd w:val="clear" w:color="auto" w:fill="FFFFFF"/>
              <w:jc w:val="both"/>
              <w:rPr>
                <w:bCs/>
              </w:rPr>
            </w:pPr>
            <w:r w:rsidRPr="00BF647F">
              <w:rPr>
                <w:bCs/>
              </w:rPr>
              <w:t>1.00.00 Будівельні та монтажні роботи загального призначення;</w:t>
            </w:r>
          </w:p>
          <w:p w:rsidR="00637078" w:rsidRPr="00BF647F" w:rsidRDefault="00637078" w:rsidP="00637078">
            <w:pPr>
              <w:shd w:val="clear" w:color="auto" w:fill="FFFFFF"/>
              <w:jc w:val="both"/>
              <w:rPr>
                <w:bCs/>
              </w:rPr>
            </w:pPr>
            <w:r w:rsidRPr="00BF647F">
              <w:rPr>
                <w:bCs/>
              </w:rPr>
              <w:t xml:space="preserve"> 2.00.00 Будівництво об’єктів інженерної інфраструктури:</w:t>
            </w:r>
          </w:p>
          <w:p w:rsidR="00637078" w:rsidRPr="00BF647F" w:rsidRDefault="00637078" w:rsidP="00637078">
            <w:pPr>
              <w:shd w:val="clear" w:color="auto" w:fill="FFFFFF"/>
              <w:jc w:val="both"/>
              <w:rPr>
                <w:bCs/>
              </w:rPr>
            </w:pPr>
            <w:r w:rsidRPr="00BF647F">
              <w:rPr>
                <w:bCs/>
              </w:rPr>
              <w:t>- 2.01.00 Монтаж внутрішніх інженерних мереж, систем, приладів і засобів вимірювання, іншого обладнання.</w:t>
            </w:r>
          </w:p>
          <w:p w:rsidR="007C62BA" w:rsidRPr="00DA2B1C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43" w:rsidRDefault="00F13043" w:rsidP="00401AF0">
      <w:r>
        <w:separator/>
      </w:r>
    </w:p>
  </w:endnote>
  <w:endnote w:type="continuationSeparator" w:id="0">
    <w:p w:rsidR="00F13043" w:rsidRDefault="00F13043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045EBC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D479BC">
          <w:rPr>
            <w:noProof/>
            <w:sz w:val="22"/>
            <w:szCs w:val="22"/>
          </w:rPr>
          <w:t>6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F130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43" w:rsidRDefault="00F13043" w:rsidP="00401AF0">
      <w:r>
        <w:separator/>
      </w:r>
    </w:p>
  </w:footnote>
  <w:footnote w:type="continuationSeparator" w:id="0">
    <w:p w:rsidR="00F13043" w:rsidRDefault="00F13043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B6084"/>
    <w:rsid w:val="008D243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2E26-3730-4937-95A5-19ED6FBB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10075</Words>
  <Characters>5743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2023-09-05T06:41:00Z</cp:lastPrinted>
  <dcterms:created xsi:type="dcterms:W3CDTF">2023-01-16T09:18:00Z</dcterms:created>
  <dcterms:modified xsi:type="dcterms:W3CDTF">2024-03-13T07:57:00Z</dcterms:modified>
</cp:coreProperties>
</file>