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 </w:t>
      </w:r>
      <w:r w:rsidR="00B46F92">
        <w:rPr>
          <w:rFonts w:ascii="Times New Roman" w:hAnsi="Times New Roman" w:cs="Times New Roman"/>
          <w:bCs/>
          <w:i/>
          <w:sz w:val="20"/>
          <w:szCs w:val="20"/>
          <w:lang w:val="uk-UA"/>
        </w:rPr>
        <w:t>146</w:t>
      </w:r>
      <w:r w:rsidR="00853C60">
        <w:rPr>
          <w:rFonts w:ascii="Times New Roman" w:hAnsi="Times New Roman" w:cs="Times New Roman"/>
          <w:bCs/>
          <w:i/>
          <w:sz w:val="20"/>
          <w:szCs w:val="20"/>
          <w:lang w:val="uk-UA"/>
        </w:rPr>
        <w:t xml:space="preserve"> </w:t>
      </w:r>
      <w:r>
        <w:rPr>
          <w:rFonts w:ascii="Times New Roman" w:hAnsi="Times New Roman" w:cs="Times New Roman"/>
          <w:bCs/>
          <w:i/>
          <w:sz w:val="20"/>
          <w:szCs w:val="20"/>
          <w:lang w:val="uk-UA"/>
        </w:rPr>
        <w:t xml:space="preserve">від </w:t>
      </w:r>
      <w:r w:rsidR="00861003">
        <w:rPr>
          <w:rFonts w:ascii="Times New Roman" w:hAnsi="Times New Roman" w:cs="Times New Roman"/>
          <w:bCs/>
          <w:i/>
          <w:sz w:val="20"/>
          <w:szCs w:val="20"/>
          <w:lang w:val="uk-UA"/>
        </w:rPr>
        <w:t xml:space="preserve"> </w:t>
      </w:r>
      <w:r w:rsidR="00B46F92">
        <w:rPr>
          <w:rFonts w:ascii="Times New Roman" w:hAnsi="Times New Roman" w:cs="Times New Roman"/>
          <w:bCs/>
          <w:i/>
          <w:sz w:val="20"/>
          <w:szCs w:val="20"/>
          <w:lang w:val="uk-UA"/>
        </w:rPr>
        <w:t>17</w:t>
      </w:r>
      <w:r w:rsidR="008122B2">
        <w:rPr>
          <w:rFonts w:ascii="Times New Roman" w:hAnsi="Times New Roman" w:cs="Times New Roman"/>
          <w:bCs/>
          <w:i/>
          <w:sz w:val="20"/>
          <w:szCs w:val="20"/>
          <w:lang w:val="uk-UA"/>
        </w:rPr>
        <w:t>.</w:t>
      </w:r>
      <w:r w:rsidR="00B46F92">
        <w:rPr>
          <w:rFonts w:ascii="Times New Roman" w:hAnsi="Times New Roman" w:cs="Times New Roman"/>
          <w:bCs/>
          <w:i/>
          <w:sz w:val="20"/>
          <w:szCs w:val="20"/>
          <w:lang w:val="uk-UA"/>
        </w:rPr>
        <w:t>03</w:t>
      </w:r>
      <w:r w:rsidR="008D3D65">
        <w:rPr>
          <w:rFonts w:ascii="Times New Roman" w:hAnsi="Times New Roman" w:cs="Times New Roman"/>
          <w:bCs/>
          <w:i/>
          <w:sz w:val="20"/>
          <w:szCs w:val="20"/>
          <w:lang w:val="uk-UA"/>
        </w:rPr>
        <w:t>.</w:t>
      </w:r>
      <w:r>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50BC2" w:rsidRDefault="00850BC2" w:rsidP="00850BC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AE35AD">
        <w:rPr>
          <w:rFonts w:ascii="Times New Roman" w:hAnsi="Times New Roman"/>
          <w:sz w:val="28"/>
          <w:szCs w:val="28"/>
          <w:lang w:val="uk-UA"/>
        </w:rPr>
        <w:t xml:space="preserve"> послуг</w:t>
      </w:r>
      <w:r>
        <w:rPr>
          <w:rFonts w:ascii="Times New Roman" w:hAnsi="Times New Roman"/>
          <w:sz w:val="28"/>
          <w:szCs w:val="28"/>
          <w:lang w:val="uk-UA"/>
        </w:rPr>
        <w:t>:</w:t>
      </w:r>
    </w:p>
    <w:p w:rsidR="00850BC2" w:rsidRDefault="00850BC2" w:rsidP="00220D7F">
      <w:pPr>
        <w:spacing w:after="0" w:line="240" w:lineRule="auto"/>
        <w:jc w:val="center"/>
        <w:rPr>
          <w:rFonts w:ascii="Times New Roman" w:hAnsi="Times New Roman"/>
          <w:sz w:val="28"/>
          <w:szCs w:val="28"/>
          <w:lang w:val="uk-UA"/>
        </w:rPr>
      </w:pPr>
    </w:p>
    <w:p w:rsidR="00220D7F" w:rsidRDefault="00220D7F" w:rsidP="00220D7F">
      <w:pPr>
        <w:spacing w:after="0" w:line="240" w:lineRule="auto"/>
        <w:jc w:val="center"/>
        <w:rPr>
          <w:rFonts w:ascii="Times New Roman" w:hAnsi="Times New Roman"/>
          <w:sz w:val="28"/>
          <w:szCs w:val="28"/>
          <w:lang w:val="uk-UA"/>
        </w:rPr>
      </w:pPr>
    </w:p>
    <w:p w:rsidR="00C339BD" w:rsidRPr="005937E4" w:rsidRDefault="00E544BD" w:rsidP="00220D7F">
      <w:pPr>
        <w:spacing w:after="0"/>
        <w:jc w:val="center"/>
        <w:rPr>
          <w:rFonts w:ascii="Times New Roman" w:hAnsi="Times New Roman" w:cs="Times New Roman"/>
          <w:color w:val="1A0DAB"/>
          <w:u w:val="single"/>
          <w:shd w:val="clear" w:color="auto" w:fill="FFFFFF"/>
          <w:lang w:val="uk-UA"/>
        </w:rPr>
      </w:pPr>
      <w:r>
        <w:rPr>
          <w:rFonts w:ascii="Times New Roman" w:hAnsi="Times New Roman" w:cs="Times New Roman"/>
          <w:b/>
          <w:sz w:val="24"/>
          <w:szCs w:val="24"/>
          <w:lang w:val="uk-UA"/>
        </w:rPr>
        <w:t>«Ремонт службових автомобілів</w:t>
      </w:r>
      <w:r w:rsidR="002E7CD7" w:rsidRPr="002E7CD7">
        <w:rPr>
          <w:rFonts w:ascii="Times New Roman" w:hAnsi="Times New Roman" w:cs="Times New Roman"/>
          <w:b/>
          <w:sz w:val="24"/>
          <w:szCs w:val="24"/>
          <w:lang w:val="uk-UA"/>
        </w:rPr>
        <w:t xml:space="preserve"> </w:t>
      </w:r>
      <w:r w:rsidR="002E7CD7" w:rsidRPr="002E7CD7">
        <w:rPr>
          <w:rFonts w:ascii="Times New Roman" w:hAnsi="Times New Roman" w:cs="Times New Roman"/>
          <w:b/>
          <w:sz w:val="24"/>
          <w:szCs w:val="24"/>
        </w:rPr>
        <w:t>MITSUBISHI</w:t>
      </w:r>
      <w:r w:rsidR="002E7CD7" w:rsidRPr="002E7CD7">
        <w:rPr>
          <w:rFonts w:ascii="Times New Roman" w:hAnsi="Times New Roman" w:cs="Times New Roman"/>
          <w:b/>
          <w:sz w:val="24"/>
          <w:szCs w:val="24"/>
          <w:lang w:val="uk-UA"/>
        </w:rPr>
        <w:t xml:space="preserve"> </w:t>
      </w:r>
      <w:r w:rsidR="002E7CD7" w:rsidRPr="002E7CD7">
        <w:rPr>
          <w:rFonts w:ascii="Times New Roman" w:hAnsi="Times New Roman" w:cs="Times New Roman"/>
          <w:b/>
          <w:sz w:val="24"/>
          <w:szCs w:val="24"/>
        </w:rPr>
        <w:t>OUTLANDER</w:t>
      </w:r>
      <w:r w:rsidR="00DE08D3" w:rsidRPr="005937E4">
        <w:rPr>
          <w:rFonts w:ascii="Times New Roman" w:hAnsi="Times New Roman" w:cs="Times New Roman"/>
        </w:rPr>
        <w:fldChar w:fldCharType="begin"/>
      </w:r>
      <w:r w:rsidR="00C339BD" w:rsidRPr="002E7CD7">
        <w:rPr>
          <w:rFonts w:ascii="Times New Roman" w:hAnsi="Times New Roman" w:cs="Times New Roman"/>
          <w:lang w:val="uk-UA"/>
        </w:rPr>
        <w:instrText xml:space="preserve"> </w:instrText>
      </w:r>
      <w:r w:rsidR="00C339BD" w:rsidRPr="005937E4">
        <w:rPr>
          <w:rFonts w:ascii="Times New Roman" w:hAnsi="Times New Roman" w:cs="Times New Roman"/>
        </w:rPr>
        <w:instrText>HYPERLINK</w:instrText>
      </w:r>
      <w:r w:rsidR="00C339BD" w:rsidRPr="002E7CD7">
        <w:rPr>
          <w:rFonts w:ascii="Times New Roman" w:hAnsi="Times New Roman" w:cs="Times New Roman"/>
          <w:lang w:val="uk-UA"/>
        </w:rPr>
        <w:instrText xml:space="preserve"> "</w:instrText>
      </w:r>
      <w:r w:rsidR="00C339BD" w:rsidRPr="005937E4">
        <w:rPr>
          <w:rFonts w:ascii="Times New Roman" w:hAnsi="Times New Roman" w:cs="Times New Roman"/>
        </w:rPr>
        <w:instrText>https</w:instrText>
      </w:r>
      <w:r w:rsidR="00C339BD" w:rsidRPr="002E7CD7">
        <w:rPr>
          <w:rFonts w:ascii="Times New Roman" w:hAnsi="Times New Roman" w:cs="Times New Roman"/>
          <w:lang w:val="uk-UA"/>
        </w:rPr>
        <w:instrText>://</w:instrText>
      </w:r>
      <w:r w:rsidR="00C339BD" w:rsidRPr="005937E4">
        <w:rPr>
          <w:rFonts w:ascii="Times New Roman" w:hAnsi="Times New Roman" w:cs="Times New Roman"/>
        </w:rPr>
        <w:instrText>auto</w:instrText>
      </w:r>
      <w:r w:rsidR="00C339BD" w:rsidRPr="002E7CD7">
        <w:rPr>
          <w:rFonts w:ascii="Times New Roman" w:hAnsi="Times New Roman" w:cs="Times New Roman"/>
          <w:lang w:val="uk-UA"/>
        </w:rPr>
        <w:instrText>.</w:instrText>
      </w:r>
      <w:r w:rsidR="00C339BD" w:rsidRPr="005937E4">
        <w:rPr>
          <w:rFonts w:ascii="Times New Roman" w:hAnsi="Times New Roman" w:cs="Times New Roman"/>
        </w:rPr>
        <w:instrText>ria</w:instrText>
      </w:r>
      <w:r w:rsidR="00C339BD" w:rsidRPr="002E7CD7">
        <w:rPr>
          <w:rFonts w:ascii="Times New Roman" w:hAnsi="Times New Roman" w:cs="Times New Roman"/>
          <w:lang w:val="uk-UA"/>
        </w:rPr>
        <w:instrText>.</w:instrText>
      </w:r>
      <w:r w:rsidR="00C339BD" w:rsidRPr="005937E4">
        <w:rPr>
          <w:rFonts w:ascii="Times New Roman" w:hAnsi="Times New Roman" w:cs="Times New Roman"/>
        </w:rPr>
        <w:instrText>com</w:instrText>
      </w:r>
      <w:r w:rsidR="00C339BD" w:rsidRPr="002E7CD7">
        <w:rPr>
          <w:rFonts w:ascii="Times New Roman" w:hAnsi="Times New Roman" w:cs="Times New Roman"/>
          <w:lang w:val="uk-UA"/>
        </w:rPr>
        <w:instrText>/</w:instrText>
      </w:r>
      <w:r w:rsidR="00C339BD" w:rsidRPr="005937E4">
        <w:rPr>
          <w:rFonts w:ascii="Times New Roman" w:hAnsi="Times New Roman" w:cs="Times New Roman"/>
        </w:rPr>
        <w:instrText>uk</w:instrText>
      </w:r>
      <w:r w:rsidR="00C339BD" w:rsidRPr="002E7CD7">
        <w:rPr>
          <w:rFonts w:ascii="Times New Roman" w:hAnsi="Times New Roman" w:cs="Times New Roman"/>
          <w:lang w:val="uk-UA"/>
        </w:rPr>
        <w:instrText>/</w:instrText>
      </w:r>
      <w:r w:rsidR="00C339BD" w:rsidRPr="005937E4">
        <w:rPr>
          <w:rFonts w:ascii="Times New Roman" w:hAnsi="Times New Roman" w:cs="Times New Roman"/>
        </w:rPr>
        <w:instrText>legkovie</w:instrText>
      </w:r>
      <w:r w:rsidR="00C339BD" w:rsidRPr="002E7CD7">
        <w:rPr>
          <w:rFonts w:ascii="Times New Roman" w:hAnsi="Times New Roman" w:cs="Times New Roman"/>
          <w:lang w:val="uk-UA"/>
        </w:rPr>
        <w:instrText>/</w:instrText>
      </w:r>
      <w:r w:rsidR="00C339BD" w:rsidRPr="005937E4">
        <w:rPr>
          <w:rFonts w:ascii="Times New Roman" w:hAnsi="Times New Roman" w:cs="Times New Roman"/>
        </w:rPr>
        <w:instrText>toyota</w:instrText>
      </w:r>
      <w:r w:rsidR="00C339BD" w:rsidRPr="002E7CD7">
        <w:rPr>
          <w:rFonts w:ascii="Times New Roman" w:hAnsi="Times New Roman" w:cs="Times New Roman"/>
          <w:lang w:val="uk-UA"/>
        </w:rPr>
        <w:instrText>/</w:instrText>
      </w:r>
      <w:r w:rsidR="00C339BD" w:rsidRPr="005937E4">
        <w:rPr>
          <w:rFonts w:ascii="Times New Roman" w:hAnsi="Times New Roman" w:cs="Times New Roman"/>
        </w:rPr>
        <w:instrText>prius</w:instrText>
      </w:r>
      <w:r w:rsidR="00C339BD" w:rsidRPr="002E7CD7">
        <w:rPr>
          <w:rFonts w:ascii="Times New Roman" w:hAnsi="Times New Roman" w:cs="Times New Roman"/>
          <w:lang w:val="uk-UA"/>
        </w:rPr>
        <w:instrText xml:space="preserve">/" </w:instrText>
      </w:r>
      <w:r w:rsidR="00DE08D3" w:rsidRPr="005937E4">
        <w:rPr>
          <w:rFonts w:ascii="Times New Roman" w:hAnsi="Times New Roman" w:cs="Times New Roman"/>
        </w:rPr>
        <w:fldChar w:fldCharType="separate"/>
      </w:r>
      <w:r w:rsidR="00C339BD" w:rsidRPr="005937E4">
        <w:rPr>
          <w:rFonts w:ascii="Times New Roman" w:hAnsi="Times New Roman" w:cs="Times New Roman"/>
          <w:b/>
          <w:bCs/>
          <w:color w:val="000000" w:themeColor="text1"/>
          <w:sz w:val="23"/>
          <w:szCs w:val="23"/>
          <w:shd w:val="clear" w:color="auto" w:fill="FFFFFF"/>
          <w:lang w:val="uk-UA"/>
        </w:rPr>
        <w:t>,</w:t>
      </w:r>
    </w:p>
    <w:p w:rsidR="00850BC2" w:rsidRDefault="00DE08D3" w:rsidP="00220D7F">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r w:rsidRPr="005937E4">
        <w:rPr>
          <w:rFonts w:ascii="Times New Roman" w:hAnsi="Times New Roman" w:cs="Times New Roman"/>
        </w:rPr>
        <w:fldChar w:fldCharType="end"/>
      </w:r>
      <w:r w:rsidR="00850BC2">
        <w:rPr>
          <w:rFonts w:ascii="Times New Roman" w:hAnsi="Times New Roman" w:cs="Times New Roman"/>
          <w:b/>
          <w:sz w:val="24"/>
          <w:szCs w:val="24"/>
          <w:lang w:val="uk-UA"/>
        </w:rPr>
        <w:t xml:space="preserve">код </w:t>
      </w:r>
      <w:r w:rsidR="00850BC2">
        <w:rPr>
          <w:rFonts w:ascii="Times New Roman" w:hAnsi="Times New Roman" w:cs="Times New Roman"/>
          <w:b/>
          <w:sz w:val="24"/>
          <w:szCs w:val="24"/>
        </w:rPr>
        <w:t>50112100-4  - послуги з ремонту автомобілів»</w:t>
      </w:r>
    </w:p>
    <w:p w:rsidR="00220D7F" w:rsidRDefault="00220D7F" w:rsidP="00220D7F">
      <w:pPr>
        <w:widowControl w:val="0"/>
        <w:tabs>
          <w:tab w:val="left" w:pos="0"/>
          <w:tab w:val="left" w:pos="567"/>
          <w:tab w:val="left" w:pos="851"/>
          <w:tab w:val="left" w:pos="993"/>
        </w:tabs>
        <w:spacing w:after="0"/>
        <w:jc w:val="center"/>
        <w:rPr>
          <w:rFonts w:ascii="Times New Roman" w:hAnsi="Times New Roman" w:cs="Times New Roman"/>
          <w:b/>
          <w:sz w:val="24"/>
          <w:szCs w:val="24"/>
          <w:lang w:val="uk-UA"/>
        </w:rPr>
      </w:pPr>
    </w:p>
    <w:p w:rsidR="00850BC2" w:rsidRDefault="00850BC2" w:rsidP="00220D7F">
      <w:pPr>
        <w:spacing w:after="0"/>
        <w:jc w:val="center"/>
        <w:rPr>
          <w:rFonts w:ascii="Times New Roman" w:hAnsi="Times New Roman" w:cs="Times New Roman"/>
          <w:b/>
          <w:sz w:val="24"/>
          <w:szCs w:val="24"/>
        </w:rPr>
      </w:pPr>
      <w:r>
        <w:rPr>
          <w:rFonts w:ascii="Times New Roman" w:hAnsi="Times New Roman" w:cs="Times New Roman"/>
          <w:b/>
          <w:sz w:val="24"/>
          <w:szCs w:val="24"/>
          <w:lang w:val="uk-UA"/>
        </w:rPr>
        <w:t xml:space="preserve">код ДК 021:2015 –50110000 – </w:t>
      </w:r>
      <w:r>
        <w:rPr>
          <w:rFonts w:ascii="Times New Roman" w:hAnsi="Times New Roman" w:cs="Times New Roman"/>
          <w:b/>
          <w:sz w:val="24"/>
          <w:szCs w:val="24"/>
        </w:rPr>
        <w:t>9 - послуги з ремонту і технічного обслуговування мототранспортних засобів і супутнього обладнання</w:t>
      </w:r>
    </w:p>
    <w:p w:rsidR="00850BC2" w:rsidRDefault="00850BC2" w:rsidP="00220D7F">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782C2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Особливсотей.</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736D86"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Pr="000239EC" w:rsidRDefault="00CB18A5" w:rsidP="00D45FFB">
            <w:pPr>
              <w:tabs>
                <w:tab w:val="left" w:pos="-567"/>
              </w:tabs>
              <w:spacing w:after="0" w:line="20" w:lineRule="atLeast"/>
              <w:jc w:val="both"/>
              <w:rPr>
                <w:rFonts w:ascii="Times New Roman" w:hAnsi="Times New Roman" w:cs="Times New Roman"/>
                <w:sz w:val="20"/>
                <w:szCs w:val="20"/>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4C6EC5" w:rsidRPr="00736D86" w:rsidRDefault="004C6EC5" w:rsidP="00D45FFB">
            <w:pPr>
              <w:tabs>
                <w:tab w:val="left" w:pos="-567"/>
              </w:tabs>
              <w:spacing w:after="0" w:line="20" w:lineRule="atLeast"/>
              <w:jc w:val="both"/>
              <w:rPr>
                <w:rFonts w:ascii="Times New Roman" w:hAnsi="Times New Roman" w:cs="Times New Roman"/>
                <w:sz w:val="20"/>
                <w:szCs w:val="20"/>
                <w:lang w:val="en-US"/>
              </w:rPr>
            </w:pPr>
            <w:r>
              <w:rPr>
                <w:rFonts w:ascii="Times New Roman" w:hAnsi="Times New Roman" w:cs="Times New Roman"/>
                <w:sz w:val="20"/>
                <w:szCs w:val="20"/>
                <w:lang w:val="uk-UA"/>
              </w:rPr>
              <w:t>По технічних питаннях: Крет Андрій Юліанович,</w:t>
            </w:r>
            <w:r w:rsidRPr="00D66A79">
              <w:rPr>
                <w:rFonts w:ascii="Times New Roman" w:hAnsi="Times New Roman" w:cs="Times New Roman"/>
                <w:sz w:val="20"/>
                <w:szCs w:val="20"/>
                <w:lang w:val="uk-UA"/>
              </w:rPr>
              <w:t xml:space="preserve"> тел.</w:t>
            </w:r>
            <w:r>
              <w:rPr>
                <w:rFonts w:ascii="Times New Roman" w:hAnsi="Times New Roman" w:cs="Times New Roman"/>
                <w:sz w:val="20"/>
                <w:szCs w:val="20"/>
                <w:lang w:val="uk-UA"/>
              </w:rPr>
              <w:t xml:space="preserve"> (097) 840 -28-58</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B46F92" w:rsidTr="00850BC2">
        <w:trPr>
          <w:trHeight w:val="1086"/>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0477C6" w:rsidRDefault="00E544BD" w:rsidP="00E544BD">
            <w:pPr>
              <w:spacing w:after="0" w:line="220" w:lineRule="atLeast"/>
              <w:rPr>
                <w:rFonts w:ascii="Times New Roman" w:hAnsi="Times New Roman" w:cs="Times New Roman"/>
                <w:sz w:val="20"/>
                <w:szCs w:val="20"/>
                <w:lang w:val="uk-UA"/>
              </w:rPr>
            </w:pPr>
            <w:r>
              <w:rPr>
                <w:rFonts w:ascii="Times New Roman" w:hAnsi="Times New Roman" w:cs="Times New Roman"/>
                <w:b/>
                <w:sz w:val="20"/>
                <w:szCs w:val="20"/>
                <w:lang w:val="uk-UA"/>
              </w:rPr>
              <w:t>«Ремонт службових автомобілів</w:t>
            </w:r>
            <w:r w:rsidR="002E7CD7" w:rsidRPr="002E7CD7">
              <w:rPr>
                <w:rFonts w:ascii="Times New Roman" w:hAnsi="Times New Roman" w:cs="Times New Roman"/>
                <w:b/>
                <w:sz w:val="20"/>
                <w:szCs w:val="20"/>
                <w:lang w:val="uk-UA"/>
              </w:rPr>
              <w:t xml:space="preserve"> </w:t>
            </w:r>
            <w:r w:rsidR="002E7CD7" w:rsidRPr="002E7CD7">
              <w:rPr>
                <w:rFonts w:ascii="Times New Roman" w:hAnsi="Times New Roman" w:cs="Times New Roman"/>
                <w:b/>
                <w:sz w:val="20"/>
                <w:szCs w:val="20"/>
              </w:rPr>
              <w:t>MITSUBISHI</w:t>
            </w:r>
            <w:r w:rsidR="002E7CD7" w:rsidRPr="002E7CD7">
              <w:rPr>
                <w:rFonts w:ascii="Times New Roman" w:hAnsi="Times New Roman" w:cs="Times New Roman"/>
                <w:b/>
                <w:sz w:val="20"/>
                <w:szCs w:val="20"/>
                <w:lang w:val="uk-UA"/>
              </w:rPr>
              <w:t xml:space="preserve"> </w:t>
            </w:r>
            <w:r w:rsidR="002E7CD7" w:rsidRPr="002E7CD7">
              <w:rPr>
                <w:rFonts w:ascii="Times New Roman" w:hAnsi="Times New Roman" w:cs="Times New Roman"/>
                <w:b/>
                <w:sz w:val="20"/>
                <w:szCs w:val="20"/>
              </w:rPr>
              <w:t>OUTLANDER</w:t>
            </w:r>
            <w:r w:rsidR="00850BC2" w:rsidRPr="000477C6">
              <w:rPr>
                <w:rFonts w:ascii="Times New Roman" w:hAnsi="Times New Roman" w:cs="Times New Roman"/>
                <w:b/>
                <w:sz w:val="20"/>
                <w:szCs w:val="20"/>
                <w:lang w:val="uk-UA"/>
              </w:rPr>
              <w:t>, код 50112100-4  - послуги з ремонту автомобілів»,</w:t>
            </w:r>
            <w:r w:rsidR="00850BC2" w:rsidRPr="000477C6">
              <w:rPr>
                <w:rFonts w:ascii="Times New Roman" w:hAnsi="Times New Roman" w:cs="Times New Roman"/>
                <w:sz w:val="20"/>
                <w:szCs w:val="20"/>
                <w:lang w:val="uk-UA"/>
              </w:rPr>
              <w:t xml:space="preserve"> код ДК 021:2015 –50110000 – 9 - послуги з ремонту і технічного обслуговування мототранспортних засобів і супутнього обладнання</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AE35AD">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0E356E">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7325A2" w:rsidRPr="00D66A79">
              <w:rPr>
                <w:rFonts w:ascii="Times New Roman" w:eastAsia="Times New Roman" w:hAnsi="Times New Roman" w:cs="Times New Roman"/>
                <w:sz w:val="20"/>
                <w:szCs w:val="20"/>
                <w:lang w:val="uk-UA"/>
              </w:rPr>
              <w:t xml:space="preserve">надання послуг, </w:t>
            </w:r>
            <w:r>
              <w:rPr>
                <w:rFonts w:ascii="Times New Roman" w:eastAsia="Times New Roman" w:hAnsi="Times New Roman" w:cs="Times New Roman"/>
                <w:sz w:val="20"/>
                <w:szCs w:val="20"/>
                <w:lang w:val="uk-UA"/>
              </w:rPr>
              <w:t>(</w:t>
            </w:r>
            <w:r w:rsidR="007325A2"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0239EC">
              <w:rPr>
                <w:rFonts w:ascii="Times New Roman" w:hAnsi="Times New Roman" w:cs="Times New Roman"/>
                <w:b/>
                <w:sz w:val="20"/>
                <w:szCs w:val="20"/>
                <w:lang w:val="uk-UA"/>
              </w:rPr>
              <w:t>30.04</w:t>
            </w:r>
            <w:r w:rsidR="000477C6">
              <w:rPr>
                <w:rFonts w:ascii="Times New Roman" w:hAnsi="Times New Roman" w:cs="Times New Roman"/>
                <w:b/>
                <w:sz w:val="20"/>
                <w:szCs w:val="20"/>
                <w:lang w:val="uk-UA"/>
              </w:rPr>
              <w:t>.</w:t>
            </w:r>
            <w:r w:rsidR="00D45FFB">
              <w:rPr>
                <w:rFonts w:ascii="Times New Roman" w:hAnsi="Times New Roman" w:cs="Times New Roman"/>
                <w:b/>
                <w:sz w:val="20"/>
                <w:szCs w:val="20"/>
                <w:lang w:val="uk-UA"/>
              </w:rPr>
              <w:t xml:space="preserve"> </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E10459" w:rsidRPr="00E10459">
              <w:rPr>
                <w:rFonts w:ascii="Times New Roman" w:eastAsia="Times New Roman" w:hAnsi="Times New Roman" w:cs="Times New Roman"/>
                <w:sz w:val="20"/>
                <w:szCs w:val="20"/>
                <w:lang w:val="uk-UA"/>
              </w:rPr>
              <w:t>пунктом 44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E10459">
              <w:rPr>
                <w:rFonts w:ascii="Times New Roman" w:eastAsia="Times New Roman" w:hAnsi="Times New Roman" w:cs="Times New Roman"/>
                <w:color w:val="000000"/>
                <w:sz w:val="20"/>
                <w:szCs w:val="20"/>
                <w:lang w:val="uk-UA" w:eastAsia="uk-UA"/>
              </w:rPr>
              <w:t>44</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w:t>
            </w:r>
            <w:r w:rsidRPr="00AB652F">
              <w:rPr>
                <w:rFonts w:ascii="Times New Roman" w:eastAsia="Times New Roman" w:hAnsi="Times New Roman" w:cs="Times New Roman"/>
                <w:color w:val="000000"/>
                <w:sz w:val="20"/>
                <w:szCs w:val="20"/>
                <w:lang w:eastAsia="uk-UA"/>
              </w:rPr>
              <w:lastRenderedPageBreak/>
              <w:t>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047FDF">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не вимагається.</w:t>
            </w:r>
          </w:p>
        </w:tc>
      </w:tr>
      <w:tr w:rsidR="007325A2" w:rsidRPr="00B46F92"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C339BD"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047FDF">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047FDF">
              <w:rPr>
                <w:rFonts w:ascii="Times New Roman" w:eastAsia="Times New Roman" w:hAnsi="Times New Roman" w:cs="Times New Roman"/>
                <w:sz w:val="20"/>
                <w:szCs w:val="20"/>
                <w:lang w:val="uk-UA" w:eastAsia="uk-UA"/>
              </w:rPr>
              <w:t>закупівлі встановлені статтею 44</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27E23">
              <w:rPr>
                <w:rFonts w:ascii="Times New Roman" w:eastAsia="Times New Roman" w:hAnsi="Times New Roman" w:cs="Times New Roman"/>
                <w:sz w:val="20"/>
                <w:szCs w:val="20"/>
                <w:lang w:eastAsia="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B46F92">
              <w:rPr>
                <w:rFonts w:ascii="Times New Roman" w:eastAsia="Times New Roman" w:hAnsi="Times New Roman" w:cs="Times New Roman"/>
                <w:b/>
                <w:sz w:val="20"/>
                <w:szCs w:val="20"/>
                <w:highlight w:val="yellow"/>
                <w:u w:val="single"/>
                <w:lang w:val="uk-UA"/>
              </w:rPr>
              <w:t>26</w:t>
            </w:r>
            <w:r w:rsidR="00047FDF">
              <w:rPr>
                <w:rFonts w:ascii="Times New Roman" w:eastAsia="Times New Roman" w:hAnsi="Times New Roman" w:cs="Times New Roman"/>
                <w:b/>
                <w:sz w:val="20"/>
                <w:szCs w:val="20"/>
                <w:highlight w:val="yellow"/>
                <w:u w:val="single"/>
                <w:lang w:val="uk-UA"/>
              </w:rPr>
              <w:t>.</w:t>
            </w:r>
            <w:r w:rsidR="00853C60">
              <w:rPr>
                <w:rFonts w:ascii="Times New Roman" w:eastAsia="Times New Roman" w:hAnsi="Times New Roman" w:cs="Times New Roman"/>
                <w:b/>
                <w:sz w:val="20"/>
                <w:szCs w:val="20"/>
                <w:highlight w:val="yellow"/>
                <w:u w:val="single"/>
                <w:lang w:val="uk-UA"/>
              </w:rPr>
              <w:t>03</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7325A2" w:rsidRPr="003F25F0" w:rsidRDefault="000863B8" w:rsidP="000863B8">
            <w:pPr>
              <w:pStyle w:val="a3"/>
              <w:spacing w:before="0" w:after="0"/>
              <w:jc w:val="both"/>
              <w:rPr>
                <w:color w:val="000000" w:themeColor="text1"/>
                <w:sz w:val="20"/>
                <w:szCs w:val="20"/>
                <w:lang w:val="uk-UA"/>
              </w:rPr>
            </w:pPr>
            <w:r w:rsidRPr="003F25F0">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3F25F0" w:rsidRDefault="003F25F0" w:rsidP="0058639E">
            <w:pPr>
              <w:spacing w:after="0" w:line="240" w:lineRule="auto"/>
              <w:rPr>
                <w:rFonts w:ascii="Times New Roman" w:eastAsia="Times New Roman" w:hAnsi="Times New Roman" w:cs="Times New Roman"/>
                <w:sz w:val="20"/>
                <w:szCs w:val="20"/>
                <w:lang w:val="uk-UA"/>
              </w:rPr>
            </w:pPr>
            <w:r w:rsidRPr="003F25F0">
              <w:rPr>
                <w:rFonts w:ascii="Times New Roman" w:eastAsia="Times New Roman" w:hAnsi="Times New Roman" w:cs="Times New Roman"/>
                <w:sz w:val="20"/>
                <w:szCs w:val="20"/>
                <w:lang w:val="uk-UA"/>
              </w:rPr>
              <w:t>Розкриття тендерних пропозицій відбувається відповідно до пункту 36 особливостей.</w:t>
            </w:r>
          </w:p>
          <w:p w:rsidR="0058639E" w:rsidRPr="0058639E" w:rsidRDefault="0058639E" w:rsidP="003F25F0">
            <w:pPr>
              <w:spacing w:after="0" w:line="240" w:lineRule="auto"/>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Розгляд та оцінка тендерних пропозицій відбувається відповідно до пунктів 35,37,38 Особливостей. </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Відкриті торги проводяться без застосування електронного аукціону.</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Критерії та методика оцінки визначається відповідно до пункту 37 Особливостей.</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5937E4" w:rsidRDefault="005937E4" w:rsidP="005937E4">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Pr>
                <w:rFonts w:ascii="Times New Roman" w:eastAsia="Times New Roman" w:hAnsi="Times New Roman" w:cs="Times New Roman"/>
                <w:sz w:val="20"/>
                <w:szCs w:val="20"/>
                <w:lang w:val="uk-UA"/>
              </w:rPr>
              <w:t>, шляхом визначення тендерної пропозиції найбільш економічно вигідною.</w:t>
            </w:r>
          </w:p>
          <w:p w:rsidR="005937E4" w:rsidRDefault="005937E4" w:rsidP="005937E4">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50BD" w:rsidRPr="009D178F" w:rsidRDefault="006B50BD" w:rsidP="006B50BD">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50BD" w:rsidRDefault="006B50BD" w:rsidP="006B50BD">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9D178F" w:rsidRDefault="006B50BD" w:rsidP="005937E4">
            <w:pPr>
              <w:spacing w:after="0" w:line="240" w:lineRule="auto"/>
              <w:jc w:val="both"/>
              <w:rPr>
                <w:rFonts w:ascii="Times New Roman" w:eastAsia="Times New Roman" w:hAnsi="Times New Roman" w:cs="Times New Roman"/>
                <w:sz w:val="24"/>
                <w:szCs w:val="24"/>
                <w:lang w:val="uk-UA"/>
              </w:rPr>
            </w:pP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Default="005937E4" w:rsidP="005937E4">
            <w:pPr>
              <w:pStyle w:val="a3"/>
              <w:spacing w:before="0" w:after="0"/>
              <w:jc w:val="both"/>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z w:val="20"/>
                <w:szCs w:val="20"/>
                <w:lang w:val="uk-UA"/>
              </w:rPr>
              <w:t>О</w:t>
            </w:r>
            <w:r>
              <w:rPr>
                <w:color w:val="000000"/>
                <w:sz w:val="20"/>
                <w:szCs w:val="20"/>
              </w:rPr>
              <w:t>собливостями.</w:t>
            </w:r>
          </w:p>
          <w:p w:rsidR="005937E4" w:rsidRDefault="005937E4" w:rsidP="005937E4">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Default="005937E4" w:rsidP="005937E4">
            <w:pPr>
              <w:pStyle w:val="a3"/>
              <w:spacing w:before="0" w:after="0"/>
              <w:jc w:val="both"/>
            </w:pPr>
            <w:r>
              <w:rPr>
                <w:color w:val="000000"/>
                <w:sz w:val="20"/>
                <w:szCs w:val="20"/>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Default="005937E4" w:rsidP="005937E4">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F72A54">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lastRenderedPageBreak/>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B46F92"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3.    Документи, що не передбачені законодавством для учасників </w:t>
            </w:r>
            <w:r w:rsidRPr="00521022">
              <w:rPr>
                <w:rFonts w:ascii="Times New Roman" w:eastAsia="Times New Roman" w:hAnsi="Times New Roman" w:cs="Times New Roman"/>
                <w:b/>
                <w:color w:val="000000" w:themeColor="text1"/>
                <w:sz w:val="20"/>
                <w:szCs w:val="20"/>
              </w:rPr>
              <w:lastRenderedPageBreak/>
              <w:t>— юридичних, фізичних осіб, у тому числі фізичних осіб — підприємців, не подаються ними у складі тендерної пропозиції.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5.  Учасники торгів — нерезиденти для виконання вимог щодо подання документів, передбачених </w:t>
            </w:r>
            <w:r w:rsidRPr="00521022">
              <w:rPr>
                <w:rFonts w:ascii="Times New Roman" w:eastAsia="Times New Roman" w:hAnsi="Times New Roman" w:cs="Times New Roman"/>
                <w:b/>
                <w:i/>
                <w:color w:val="000000" w:themeColor="text1"/>
                <w:sz w:val="20"/>
                <w:szCs w:val="20"/>
              </w:rPr>
              <w:t>Додатком  1</w:t>
            </w:r>
            <w:r w:rsidRPr="00521022">
              <w:rPr>
                <w:rFonts w:ascii="Times New Roman" w:eastAsia="Times New Roman" w:hAnsi="Times New Roman" w:cs="Times New Roman"/>
                <w:b/>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521022">
              <w:rPr>
                <w:rFonts w:ascii="Times New Roman" w:eastAsia="Times New Roman" w:hAnsi="Times New Roman" w:cs="Times New Roman"/>
                <w:b/>
                <w:i/>
                <w:color w:val="000000" w:themeColor="text1"/>
                <w:sz w:val="20"/>
                <w:szCs w:val="20"/>
              </w:rPr>
              <w:t>Додатку 3</w:t>
            </w:r>
            <w:r w:rsidRPr="00521022">
              <w:rPr>
                <w:rFonts w:ascii="Times New Roman" w:eastAsia="Times New Roman" w:hAnsi="Times New Roman" w:cs="Times New Roman"/>
                <w:b/>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521022">
              <w:rPr>
                <w:rFonts w:ascii="Times New Roman" w:eastAsia="Times New Roman" w:hAnsi="Times New Roman" w:cs="Times New Roman"/>
                <w:b/>
                <w:i/>
                <w:color w:val="000000" w:themeColor="text1"/>
                <w:sz w:val="20"/>
                <w:szCs w:val="20"/>
              </w:rPr>
              <w:t>в п. 4 Розділу 3</w:t>
            </w:r>
            <w:r w:rsidRPr="00521022">
              <w:rPr>
                <w:rFonts w:ascii="Times New Roman" w:eastAsia="Times New Roman" w:hAnsi="Times New Roman" w:cs="Times New Roman"/>
                <w:b/>
                <w:color w:val="000000" w:themeColor="text1"/>
                <w:sz w:val="20"/>
                <w:szCs w:val="20"/>
              </w:rPr>
              <w:t xml:space="preserve"> до цієї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11. Тендерна пропозиція учасника може містити документи з водяними знаками.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sidRPr="00521022">
              <w:rPr>
                <w:rFonts w:ascii="Times New Roman" w:eastAsia="Times New Roman" w:hAnsi="Times New Roman" w:cs="Times New Roman"/>
                <w:b/>
                <w:color w:val="000000" w:themeColor="text1"/>
                <w:sz w:val="20"/>
                <w:szCs w:val="20"/>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325A2" w:rsidRPr="00521022" w:rsidRDefault="00521022" w:rsidP="00521022">
            <w:pPr>
              <w:spacing w:after="0" w:line="240" w:lineRule="auto"/>
              <w:jc w:val="both"/>
              <w:rPr>
                <w:rFonts w:ascii="Times New Roman" w:eastAsia="Times New Roman" w:hAnsi="Times New Roman" w:cs="Times New Roman"/>
                <w:b/>
                <w:color w:val="000000" w:themeColor="text1"/>
                <w:sz w:val="20"/>
                <w:szCs w:val="20"/>
                <w:lang w:val="uk-UA" w:eastAsia="uk-UA"/>
              </w:rPr>
            </w:pPr>
            <w:r w:rsidRPr="00521022">
              <w:rPr>
                <w:rFonts w:ascii="Times New Roman" w:eastAsia="Times New Roman" w:hAnsi="Times New Roman" w:cs="Times New Roman"/>
                <w:b/>
                <w:color w:val="000000" w:themeColor="text1"/>
                <w:sz w:val="20"/>
                <w:szCs w:val="20"/>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21022">
              <w:rPr>
                <w:rFonts w:ascii="Times New Roman" w:eastAsia="Times New Roman" w:hAnsi="Times New Roman" w:cs="Times New Roman"/>
                <w:b/>
                <w:color w:val="000000" w:themeColor="text1"/>
                <w:sz w:val="20"/>
                <w:szCs w:val="20"/>
              </w:rPr>
              <w:t> </w:t>
            </w:r>
            <w:r w:rsidRPr="00521022">
              <w:rPr>
                <w:rFonts w:ascii="Times New Roman" w:eastAsia="Times New Roman" w:hAnsi="Times New Roman" w:cs="Times New Roman"/>
                <w:b/>
                <w:color w:val="000000" w:themeColor="text1"/>
                <w:sz w:val="20"/>
                <w:szCs w:val="2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782C2D">
              <w:rPr>
                <w:rFonts w:ascii="Times New Roman" w:eastAsia="Times New Roman" w:hAnsi="Times New Roman" w:cs="Times New Roman"/>
                <w:b/>
                <w:color w:val="000000" w:themeColor="text1"/>
                <w:sz w:val="20"/>
                <w:szCs w:val="20"/>
                <w:lang w:val="uk-UA"/>
              </w:rPr>
              <w:t>раїни, 2022 р., № 84, ст. 5176)</w:t>
            </w:r>
            <w:r w:rsidRPr="00521022">
              <w:rPr>
                <w:rFonts w:ascii="Times New Roman" w:eastAsia="Times New Roman" w:hAnsi="Times New Roman" w:cs="Times New Roman"/>
                <w:b/>
                <w:color w:val="000000" w:themeColor="text1"/>
                <w:sz w:val="20"/>
                <w:szCs w:val="20"/>
                <w:lang w:val="uk-UA"/>
              </w:rPr>
              <w:t>.</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Default="007325A2" w:rsidP="00792048">
            <w:pPr>
              <w:pStyle w:val="a5"/>
              <w:numPr>
                <w:ilvl w:val="0"/>
                <w:numId w:val="43"/>
              </w:numPr>
              <w:spacing w:after="0" w:line="240" w:lineRule="auto"/>
              <w:jc w:val="both"/>
              <w:rPr>
                <w:rFonts w:ascii="Times New Roman" w:hAnsi="Times New Roman"/>
                <w:color w:val="000000"/>
                <w:sz w:val="20"/>
                <w:szCs w:val="20"/>
              </w:rPr>
            </w:pPr>
            <w:r w:rsidRPr="00792048">
              <w:rPr>
                <w:rFonts w:ascii="Times New Roman" w:hAnsi="Times New Roman"/>
                <w:b/>
                <w:color w:val="000000"/>
                <w:sz w:val="20"/>
                <w:szCs w:val="20"/>
              </w:rPr>
              <w:t>учасник процедури закупівлі</w:t>
            </w:r>
            <w:r w:rsidRPr="00792048">
              <w:rPr>
                <w:rFonts w:ascii="Times New Roman" w:hAnsi="Times New Roman"/>
                <w:color w:val="000000"/>
                <w:sz w:val="20"/>
                <w:szCs w:val="20"/>
              </w:rPr>
              <w:t>:</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обґрунтування аномально низької ціни тендерної пропозиції протягом строку, визначеного абзацом п’ятим пункту 38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92048" w:rsidRPr="004236C5"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92048">
              <w:rPr>
                <w:rFonts w:ascii="Times New Roman" w:eastAsia="Times New Roman" w:hAnsi="Times New Roman" w:cs="Times New Roman"/>
                <w:sz w:val="20"/>
                <w:szCs w:val="20"/>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4236C5"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них пунктом 44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92048" w:rsidRPr="00792048" w:rsidRDefault="00792048" w:rsidP="004236C5">
            <w:pPr>
              <w:pStyle w:val="a5"/>
              <w:spacing w:after="0" w:line="240" w:lineRule="auto"/>
              <w:jc w:val="both"/>
              <w:rPr>
                <w:rFonts w:ascii="Times New Roman" w:hAnsi="Times New Roman"/>
                <w:sz w:val="20"/>
                <w:szCs w:val="20"/>
              </w:rPr>
            </w:pPr>
            <w:r w:rsidRPr="0079204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2048">
              <w:rPr>
                <w:rFonts w:ascii="Times New Roman" w:hAnsi="Times New Roman"/>
                <w:b/>
                <w:i/>
                <w:sz w:val="20"/>
                <w:szCs w:val="20"/>
              </w:rPr>
              <w:t>не пізніш як через чотири дні</w:t>
            </w:r>
            <w:r w:rsidRPr="00792048">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B46F92"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6C40DA" w:rsidRPr="006C40DA" w:rsidRDefault="006C40DA" w:rsidP="006C40DA">
            <w:pPr>
              <w:spacing w:after="0" w:line="240" w:lineRule="auto"/>
              <w:jc w:val="both"/>
              <w:rPr>
                <w:rFonts w:ascii="Times New Roman" w:eastAsia="Times New Roman" w:hAnsi="Times New Roman" w:cs="Times New Roman"/>
                <w:sz w:val="20"/>
                <w:szCs w:val="20"/>
                <w:lang w:val="uk-UA" w:eastAsia="uk-UA"/>
              </w:rPr>
            </w:pPr>
            <w:r w:rsidRPr="006C40DA">
              <w:rPr>
                <w:rFonts w:ascii="Times New Roman" w:eastAsia="Times New Roman" w:hAnsi="Times New Roman" w:cs="Times New Roman"/>
                <w:color w:val="000000"/>
                <w:sz w:val="20"/>
                <w:szCs w:val="20"/>
                <w:lang w:val="uk-UA"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C40DA" w:rsidRPr="00C72F5D" w:rsidRDefault="006C40DA" w:rsidP="006C40DA">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6C40DA" w:rsidRPr="006C40DA" w:rsidRDefault="006C40DA" w:rsidP="006C40DA">
            <w:pPr>
              <w:pStyle w:val="a5"/>
              <w:keepNext/>
              <w:keepLines/>
              <w:numPr>
                <w:ilvl w:val="0"/>
                <w:numId w:val="38"/>
              </w:numPr>
              <w:spacing w:after="0" w:line="240" w:lineRule="auto"/>
              <w:ind w:firstLine="388"/>
              <w:jc w:val="both"/>
              <w:rPr>
                <w:rFonts w:ascii="Times New Roman" w:hAnsi="Times New Roman"/>
                <w:sz w:val="20"/>
                <w:szCs w:val="20"/>
              </w:rPr>
            </w:pPr>
            <w:r w:rsidRPr="006C40DA">
              <w:rPr>
                <w:rFonts w:ascii="Times New Roman" w:hAnsi="Times New Roman"/>
                <w:color w:val="000000"/>
                <w:sz w:val="20"/>
                <w:szCs w:val="20"/>
              </w:rPr>
              <w:t>інформацію про право підписання договору про закупівлю</w:t>
            </w:r>
            <w:r>
              <w:rPr>
                <w:rFonts w:ascii="Times New Roman" w:hAnsi="Times New Roman"/>
                <w:color w:val="000000"/>
                <w:sz w:val="20"/>
                <w:szCs w:val="20"/>
              </w:rPr>
              <w:t>;</w:t>
            </w:r>
          </w:p>
          <w:p w:rsidR="006C40DA" w:rsidRDefault="006C40DA" w:rsidP="006C40DA">
            <w:pPr>
              <w:pStyle w:val="a5"/>
              <w:keepNext/>
              <w:keepLines/>
              <w:spacing w:after="0" w:line="240" w:lineRule="auto"/>
              <w:ind w:left="1108"/>
              <w:jc w:val="both"/>
              <w:rPr>
                <w:rFonts w:ascii="Times New Roman" w:hAnsi="Times New Roman"/>
                <w:sz w:val="20"/>
                <w:szCs w:val="20"/>
              </w:rPr>
            </w:pPr>
            <w:r w:rsidRPr="006C40DA">
              <w:rPr>
                <w:rFonts w:ascii="Times New Roman" w:hAnsi="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6C40DA">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6C40DA">
              <w:rPr>
                <w:rFonts w:ascii="Times New Roman" w:eastAsia="Times New Roman" w:hAnsi="Times New Roman" w:cs="Times New Roman"/>
                <w:color w:val="323232"/>
                <w:sz w:val="20"/>
                <w:szCs w:val="20"/>
                <w:lang w:val="uk-UA"/>
              </w:rPr>
              <w:t>, та</w:t>
            </w:r>
            <w:r w:rsidRPr="00AC3677">
              <w:rPr>
                <w:rFonts w:ascii="Times New Roman" w:eastAsia="Times New Roman" w:hAnsi="Times New Roman" w:cs="Times New Roman"/>
                <w:color w:val="323232"/>
                <w:sz w:val="20"/>
                <w:szCs w:val="20"/>
                <w:lang w:val="uk-UA"/>
              </w:rPr>
              <w:t xml:space="preserve">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D45FFB" w:rsidRDefault="007325A2" w:rsidP="00D45FFB">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961" w:rsidRDefault="00541961" w:rsidP="005430DC">
      <w:pPr>
        <w:spacing w:after="0" w:line="240" w:lineRule="auto"/>
      </w:pPr>
      <w:r>
        <w:separator/>
      </w:r>
    </w:p>
  </w:endnote>
  <w:endnote w:type="continuationSeparator" w:id="1">
    <w:p w:rsidR="00541961" w:rsidRDefault="00541961"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961" w:rsidRDefault="00541961" w:rsidP="005430DC">
      <w:pPr>
        <w:spacing w:after="0" w:line="240" w:lineRule="auto"/>
      </w:pPr>
      <w:r>
        <w:separator/>
      </w:r>
    </w:p>
  </w:footnote>
  <w:footnote w:type="continuationSeparator" w:id="1">
    <w:p w:rsidR="00541961" w:rsidRDefault="00541961"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39EC"/>
    <w:rsid w:val="00025D77"/>
    <w:rsid w:val="000477C6"/>
    <w:rsid w:val="00047FDF"/>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0D7F"/>
    <w:rsid w:val="00222DAE"/>
    <w:rsid w:val="0022343C"/>
    <w:rsid w:val="00231A57"/>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2E7CD7"/>
    <w:rsid w:val="00307AF6"/>
    <w:rsid w:val="00307D52"/>
    <w:rsid w:val="003118FC"/>
    <w:rsid w:val="00315186"/>
    <w:rsid w:val="003175C1"/>
    <w:rsid w:val="00327857"/>
    <w:rsid w:val="0033348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526"/>
    <w:rsid w:val="0039090A"/>
    <w:rsid w:val="003A2843"/>
    <w:rsid w:val="003C4A0C"/>
    <w:rsid w:val="003C650B"/>
    <w:rsid w:val="003D06FA"/>
    <w:rsid w:val="003D4E7A"/>
    <w:rsid w:val="003E0090"/>
    <w:rsid w:val="003E0A90"/>
    <w:rsid w:val="003E25AB"/>
    <w:rsid w:val="003F15F8"/>
    <w:rsid w:val="003F1719"/>
    <w:rsid w:val="003F25F0"/>
    <w:rsid w:val="00400E6E"/>
    <w:rsid w:val="004152E6"/>
    <w:rsid w:val="004236C5"/>
    <w:rsid w:val="00424B53"/>
    <w:rsid w:val="00430193"/>
    <w:rsid w:val="00430511"/>
    <w:rsid w:val="004306A6"/>
    <w:rsid w:val="00432BAB"/>
    <w:rsid w:val="0043473B"/>
    <w:rsid w:val="00436EBD"/>
    <w:rsid w:val="0044171D"/>
    <w:rsid w:val="00442AB7"/>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8B0"/>
    <w:rsid w:val="00492EFC"/>
    <w:rsid w:val="00495189"/>
    <w:rsid w:val="00495A91"/>
    <w:rsid w:val="004968A2"/>
    <w:rsid w:val="004A3354"/>
    <w:rsid w:val="004B2604"/>
    <w:rsid w:val="004B5AD8"/>
    <w:rsid w:val="004B7B7C"/>
    <w:rsid w:val="004C0A2F"/>
    <w:rsid w:val="004C1087"/>
    <w:rsid w:val="004C6EC5"/>
    <w:rsid w:val="004D42DF"/>
    <w:rsid w:val="004E2636"/>
    <w:rsid w:val="004E295A"/>
    <w:rsid w:val="004E38B7"/>
    <w:rsid w:val="004E578D"/>
    <w:rsid w:val="004F3F61"/>
    <w:rsid w:val="004F4EBD"/>
    <w:rsid w:val="00507042"/>
    <w:rsid w:val="00510154"/>
    <w:rsid w:val="005165E9"/>
    <w:rsid w:val="00517A2C"/>
    <w:rsid w:val="00517A9D"/>
    <w:rsid w:val="00521022"/>
    <w:rsid w:val="00527F72"/>
    <w:rsid w:val="00530C15"/>
    <w:rsid w:val="00533622"/>
    <w:rsid w:val="005344AE"/>
    <w:rsid w:val="00534ECF"/>
    <w:rsid w:val="00541961"/>
    <w:rsid w:val="005430DC"/>
    <w:rsid w:val="00545DC1"/>
    <w:rsid w:val="00550460"/>
    <w:rsid w:val="00552AF1"/>
    <w:rsid w:val="00552CBC"/>
    <w:rsid w:val="0055324D"/>
    <w:rsid w:val="00553BE4"/>
    <w:rsid w:val="00555B08"/>
    <w:rsid w:val="00565F3C"/>
    <w:rsid w:val="00572945"/>
    <w:rsid w:val="00575023"/>
    <w:rsid w:val="005800E8"/>
    <w:rsid w:val="00581170"/>
    <w:rsid w:val="00585062"/>
    <w:rsid w:val="0058639E"/>
    <w:rsid w:val="005930E9"/>
    <w:rsid w:val="005937E4"/>
    <w:rsid w:val="005A1810"/>
    <w:rsid w:val="005A66AA"/>
    <w:rsid w:val="005C2F8C"/>
    <w:rsid w:val="005C3174"/>
    <w:rsid w:val="005C3915"/>
    <w:rsid w:val="005C6CDC"/>
    <w:rsid w:val="005E255E"/>
    <w:rsid w:val="005E57BB"/>
    <w:rsid w:val="005F0629"/>
    <w:rsid w:val="005F2DD4"/>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7732B"/>
    <w:rsid w:val="00681A4B"/>
    <w:rsid w:val="00685D37"/>
    <w:rsid w:val="00691A97"/>
    <w:rsid w:val="0069393C"/>
    <w:rsid w:val="006A05EA"/>
    <w:rsid w:val="006A2923"/>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6124E"/>
    <w:rsid w:val="00761FA0"/>
    <w:rsid w:val="00765612"/>
    <w:rsid w:val="00775EFF"/>
    <w:rsid w:val="00782C2D"/>
    <w:rsid w:val="007844A6"/>
    <w:rsid w:val="0078658F"/>
    <w:rsid w:val="00786ED7"/>
    <w:rsid w:val="00792048"/>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50885"/>
    <w:rsid w:val="00850BC2"/>
    <w:rsid w:val="00851B4A"/>
    <w:rsid w:val="00853C60"/>
    <w:rsid w:val="008568C3"/>
    <w:rsid w:val="00857436"/>
    <w:rsid w:val="00861003"/>
    <w:rsid w:val="00872B65"/>
    <w:rsid w:val="0087323E"/>
    <w:rsid w:val="008738EE"/>
    <w:rsid w:val="00882541"/>
    <w:rsid w:val="00885EBD"/>
    <w:rsid w:val="00891696"/>
    <w:rsid w:val="008B25D0"/>
    <w:rsid w:val="008B7027"/>
    <w:rsid w:val="008C4164"/>
    <w:rsid w:val="008C444B"/>
    <w:rsid w:val="008D25BD"/>
    <w:rsid w:val="008D3944"/>
    <w:rsid w:val="008D3D65"/>
    <w:rsid w:val="008E2591"/>
    <w:rsid w:val="008E2B81"/>
    <w:rsid w:val="008E6212"/>
    <w:rsid w:val="008F1564"/>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A6496"/>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35AD"/>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4245B"/>
    <w:rsid w:val="00B46F92"/>
    <w:rsid w:val="00B636AF"/>
    <w:rsid w:val="00B65F12"/>
    <w:rsid w:val="00B9055D"/>
    <w:rsid w:val="00B97252"/>
    <w:rsid w:val="00B975AA"/>
    <w:rsid w:val="00BA2201"/>
    <w:rsid w:val="00BA3430"/>
    <w:rsid w:val="00BA3CB0"/>
    <w:rsid w:val="00BA483D"/>
    <w:rsid w:val="00BB71AA"/>
    <w:rsid w:val="00BB75C0"/>
    <w:rsid w:val="00BC14B2"/>
    <w:rsid w:val="00BC2804"/>
    <w:rsid w:val="00BC3EBA"/>
    <w:rsid w:val="00BC6662"/>
    <w:rsid w:val="00BC7491"/>
    <w:rsid w:val="00BC7E9E"/>
    <w:rsid w:val="00BD15FA"/>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4FE5"/>
    <w:rsid w:val="00C72F5D"/>
    <w:rsid w:val="00C7694A"/>
    <w:rsid w:val="00C771EA"/>
    <w:rsid w:val="00C801F9"/>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77203"/>
    <w:rsid w:val="00D80043"/>
    <w:rsid w:val="00D85F32"/>
    <w:rsid w:val="00D91D4F"/>
    <w:rsid w:val="00D93E02"/>
    <w:rsid w:val="00D94806"/>
    <w:rsid w:val="00DB0496"/>
    <w:rsid w:val="00DB665F"/>
    <w:rsid w:val="00DC1551"/>
    <w:rsid w:val="00DC3567"/>
    <w:rsid w:val="00DC35AD"/>
    <w:rsid w:val="00DC5270"/>
    <w:rsid w:val="00DD16CB"/>
    <w:rsid w:val="00DD548D"/>
    <w:rsid w:val="00DE08D3"/>
    <w:rsid w:val="00DE45B1"/>
    <w:rsid w:val="00DE4FAB"/>
    <w:rsid w:val="00DE6020"/>
    <w:rsid w:val="00DF30B6"/>
    <w:rsid w:val="00E026DB"/>
    <w:rsid w:val="00E030A7"/>
    <w:rsid w:val="00E04648"/>
    <w:rsid w:val="00E10459"/>
    <w:rsid w:val="00E12DB4"/>
    <w:rsid w:val="00E204C2"/>
    <w:rsid w:val="00E21150"/>
    <w:rsid w:val="00E22BC4"/>
    <w:rsid w:val="00E25988"/>
    <w:rsid w:val="00E30DD4"/>
    <w:rsid w:val="00E374F9"/>
    <w:rsid w:val="00E45565"/>
    <w:rsid w:val="00E544BD"/>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06D5"/>
    <w:rsid w:val="00EF3703"/>
    <w:rsid w:val="00EF4056"/>
    <w:rsid w:val="00EF6783"/>
    <w:rsid w:val="00F02CDE"/>
    <w:rsid w:val="00F02E75"/>
    <w:rsid w:val="00F10A59"/>
    <w:rsid w:val="00F125BB"/>
    <w:rsid w:val="00F17A3C"/>
    <w:rsid w:val="00F2068B"/>
    <w:rsid w:val="00F20F07"/>
    <w:rsid w:val="00F23CD1"/>
    <w:rsid w:val="00F26A13"/>
    <w:rsid w:val="00F325B5"/>
    <w:rsid w:val="00F35C4F"/>
    <w:rsid w:val="00F42700"/>
    <w:rsid w:val="00F44D60"/>
    <w:rsid w:val="00F511F4"/>
    <w:rsid w:val="00F52803"/>
    <w:rsid w:val="00F533C0"/>
    <w:rsid w:val="00F54139"/>
    <w:rsid w:val="00F627A7"/>
    <w:rsid w:val="00F64B74"/>
    <w:rsid w:val="00F65F21"/>
    <w:rsid w:val="00F70D71"/>
    <w:rsid w:val="00F72A54"/>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4C80-112C-4C58-BE89-D670EFC8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6648</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61</cp:revision>
  <cp:lastPrinted>2023-03-16T13:26:00Z</cp:lastPrinted>
  <dcterms:created xsi:type="dcterms:W3CDTF">2023-01-25T12:39:00Z</dcterms:created>
  <dcterms:modified xsi:type="dcterms:W3CDTF">2023-03-17T08:50:00Z</dcterms:modified>
</cp:coreProperties>
</file>