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6EE7B8" w14:textId="77777777" w:rsidR="004815C9" w:rsidRPr="004815C9" w:rsidRDefault="004815C9" w:rsidP="004815C9">
      <w:pPr>
        <w:jc w:val="center"/>
        <w:rPr>
          <w:b/>
          <w:szCs w:val="36"/>
        </w:rPr>
      </w:pPr>
      <w:r w:rsidRPr="004815C9">
        <w:rPr>
          <w:b/>
          <w:szCs w:val="36"/>
        </w:rPr>
        <w:t>ЗАПОРІЗЬКА МІСЬКА РАДА</w:t>
      </w:r>
    </w:p>
    <w:p w14:paraId="0BC613B2" w14:textId="0FBC4F98" w:rsidR="00CB2ADA" w:rsidRDefault="004815C9" w:rsidP="004815C9">
      <w:pPr>
        <w:jc w:val="center"/>
      </w:pPr>
      <w:r w:rsidRPr="004815C9">
        <w:rPr>
          <w:b/>
          <w:szCs w:val="36"/>
        </w:rPr>
        <w:t>ДЕПАРТАМЕНТ СПОРТУ, СІМ’Ї  ТА  МОЛОДІ</w:t>
      </w: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58"/>
        <w:gridCol w:w="337"/>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74AC278E"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A2591A">
              <w:rPr>
                <w:rFonts w:eastAsia="Times New Roman"/>
                <w:bCs/>
                <w:color w:val="000000"/>
              </w:rPr>
              <w:t>19</w:t>
            </w:r>
            <w:r w:rsidRPr="00251956">
              <w:rPr>
                <w:rFonts w:eastAsia="Times New Roman"/>
                <w:bCs/>
                <w:color w:val="000000"/>
              </w:rPr>
              <w:t xml:space="preserve">» </w:t>
            </w:r>
            <w:r w:rsidR="007D5C19">
              <w:rPr>
                <w:rFonts w:eastAsia="Times New Roman"/>
                <w:bCs/>
                <w:color w:val="000000"/>
              </w:rPr>
              <w:t>л</w:t>
            </w:r>
            <w:r w:rsidR="00B771C1">
              <w:rPr>
                <w:rFonts w:eastAsia="Times New Roman"/>
                <w:bCs/>
                <w:color w:val="000000"/>
                <w:lang w:val="ru-RU"/>
              </w:rPr>
              <w:t>ютого</w:t>
            </w:r>
            <w:r w:rsidRPr="00251956">
              <w:rPr>
                <w:rFonts w:eastAsia="Times New Roman"/>
                <w:bCs/>
                <w:color w:val="000000"/>
              </w:rPr>
              <w:t xml:space="preserve"> 202</w:t>
            </w:r>
            <w:r w:rsidR="00B771C1">
              <w:rPr>
                <w:rFonts w:eastAsia="Times New Roman"/>
                <w:bCs/>
                <w:color w:val="000000"/>
                <w:lang w:val="ru-RU"/>
              </w:rPr>
              <w:t>4</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02832BB3"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8211"/>
      <w:bookmarkStart w:id="1" w:name="_Hlk139969904"/>
      <w:bookmarkStart w:id="2" w:name="_Hlk139633012"/>
      <w:r w:rsidR="007937DB" w:rsidRPr="007937DB">
        <w:rPr>
          <w:b/>
          <w:color w:val="000000"/>
          <w:sz w:val="28"/>
          <w:szCs w:val="36"/>
          <w:bdr w:val="none" w:sz="0" w:space="0" w:color="auto" w:frame="1"/>
          <w:shd w:val="clear" w:color="auto" w:fill="FDFEFD"/>
        </w:rPr>
        <w:t>09130000-9 - Нафта і дистиляти</w:t>
      </w:r>
      <w:r w:rsidRPr="00D42E5E">
        <w:rPr>
          <w:b/>
          <w:color w:val="000000"/>
          <w:sz w:val="28"/>
          <w:szCs w:val="36"/>
          <w:bdr w:val="none" w:sz="0" w:space="0" w:color="auto" w:frame="1"/>
          <w:shd w:val="clear" w:color="auto" w:fill="FDFEFD"/>
        </w:rPr>
        <w:t xml:space="preserve"> </w:t>
      </w:r>
      <w:bookmarkEnd w:id="0"/>
      <w:bookmarkEnd w:id="1"/>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24B33B7E" w14:textId="77777777" w:rsidR="007937DB" w:rsidRPr="006523E1" w:rsidRDefault="007937DB" w:rsidP="007937DB">
      <w:pPr>
        <w:jc w:val="center"/>
        <w:rPr>
          <w:b/>
          <w:sz w:val="28"/>
          <w:szCs w:val="32"/>
        </w:rPr>
      </w:pPr>
      <w:bookmarkStart w:id="3" w:name="_Hlk139638027"/>
      <w:bookmarkStart w:id="4" w:name="_Hlk139633025"/>
      <w:r w:rsidRPr="006523E1">
        <w:rPr>
          <w:b/>
          <w:sz w:val="28"/>
          <w:szCs w:val="32"/>
        </w:rPr>
        <w:t>Бензин автомобільний  А-95-Євро5-Е5 та</w:t>
      </w:r>
    </w:p>
    <w:p w14:paraId="0AFE19FB" w14:textId="77777777" w:rsidR="007937DB" w:rsidRPr="006523E1" w:rsidRDefault="007937DB" w:rsidP="007937DB">
      <w:pPr>
        <w:jc w:val="center"/>
        <w:rPr>
          <w:sz w:val="28"/>
          <w:szCs w:val="32"/>
        </w:rPr>
      </w:pPr>
      <w:r w:rsidRPr="006523E1">
        <w:rPr>
          <w:b/>
          <w:sz w:val="28"/>
          <w:szCs w:val="32"/>
        </w:rPr>
        <w:t>паливо дизельне ДП-Л-Євро5-ВО</w:t>
      </w:r>
      <w:bookmarkEnd w:id="3"/>
    </w:p>
    <w:bookmarkEnd w:id="4"/>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3B064E07" w:rsidR="00F951A2" w:rsidRPr="00AE32DE" w:rsidRDefault="00F951A2" w:rsidP="00F951A2">
      <w:pPr>
        <w:jc w:val="center"/>
        <w:rPr>
          <w:b/>
          <w:bCs/>
          <w:szCs w:val="28"/>
          <w:highlight w:val="white"/>
        </w:rPr>
      </w:pPr>
      <w:r w:rsidRPr="00AE32DE">
        <w:rPr>
          <w:b/>
          <w:bCs/>
          <w:szCs w:val="28"/>
          <w:highlight w:val="white"/>
        </w:rPr>
        <w:t>202</w:t>
      </w:r>
      <w:r w:rsidR="00B771C1">
        <w:rPr>
          <w:b/>
          <w:bCs/>
          <w:szCs w:val="28"/>
          <w:highlight w:val="white"/>
          <w:lang w:val="ru-RU"/>
        </w:rPr>
        <w:t>4</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4EC12CFE" w:rsidR="009C4189" w:rsidRPr="00852169" w:rsidRDefault="004815C9" w:rsidP="0078796F">
            <w:pPr>
              <w:spacing w:after="120"/>
              <w:jc w:val="both"/>
              <w:rPr>
                <w:sz w:val="22"/>
                <w:szCs w:val="22"/>
              </w:rPr>
            </w:pPr>
            <w:r w:rsidRPr="004815C9">
              <w:rPr>
                <w:sz w:val="22"/>
                <w:szCs w:val="22"/>
              </w:rPr>
              <w:t>Департамент спорту, сім'ї та молоді Запорізької міської ради</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485CE8F" w:rsidR="009C4189" w:rsidRPr="00852169" w:rsidRDefault="004815C9" w:rsidP="0078796F">
            <w:pPr>
              <w:spacing w:after="120"/>
              <w:rPr>
                <w:sz w:val="22"/>
                <w:szCs w:val="22"/>
              </w:rPr>
            </w:pPr>
            <w:r w:rsidRPr="004815C9">
              <w:rPr>
                <w:sz w:val="22"/>
                <w:szCs w:val="22"/>
              </w:rPr>
              <w:t>пр. Соборний, буд. 214, м. Запоріжжя, 69037, Україна</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B71591E" w14:textId="77777777" w:rsidR="007937DB" w:rsidRPr="007937DB" w:rsidRDefault="007937DB" w:rsidP="007937DB">
            <w:pPr>
              <w:rPr>
                <w:bCs/>
              </w:rPr>
            </w:pPr>
            <w:r w:rsidRPr="007937DB">
              <w:rPr>
                <w:bCs/>
              </w:rPr>
              <w:t>Бензин автомобільний  А-95-Євро5-Е5 та</w:t>
            </w:r>
          </w:p>
          <w:p w14:paraId="7E6C3466" w14:textId="7674C783" w:rsidR="0050150B" w:rsidRPr="00852169" w:rsidRDefault="007937DB" w:rsidP="007937DB">
            <w:pPr>
              <w:rPr>
                <w:bCs/>
                <w:i/>
              </w:rPr>
            </w:pPr>
            <w:r w:rsidRPr="007937DB">
              <w:rPr>
                <w:bCs/>
              </w:rPr>
              <w:t>паливо дизельне ДП-Л-Євро5-ВО</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1DDEB6F" w14:textId="10DC2C5A" w:rsidR="007937DB" w:rsidRPr="00233BB8" w:rsidRDefault="007937DB" w:rsidP="007937DB">
            <w:pPr>
              <w:snapToGrid w:val="0"/>
              <w:jc w:val="both"/>
              <w:rPr>
                <w:rFonts w:eastAsia="Times New Roman"/>
              </w:rPr>
            </w:pPr>
            <w:r>
              <w:rPr>
                <w:rFonts w:eastAsia="Times New Roman"/>
              </w:rPr>
              <w:t xml:space="preserve">Всього: </w:t>
            </w:r>
            <w:r w:rsidR="00B771C1">
              <w:rPr>
                <w:rFonts w:eastAsia="Times New Roman"/>
                <w:lang w:val="ru-RU"/>
              </w:rPr>
              <w:t xml:space="preserve">6 </w:t>
            </w:r>
            <w:r w:rsidR="00A2591A">
              <w:rPr>
                <w:rFonts w:eastAsia="Times New Roman"/>
                <w:lang w:val="ru-RU"/>
              </w:rPr>
              <w:t>520</w:t>
            </w:r>
            <w:r>
              <w:rPr>
                <w:rFonts w:eastAsia="Times New Roman"/>
              </w:rPr>
              <w:t xml:space="preserve"> л, в тому числі:</w:t>
            </w:r>
          </w:p>
          <w:p w14:paraId="199DEE33" w14:textId="16CADE31" w:rsidR="007937DB" w:rsidRPr="00B93A0A" w:rsidRDefault="007937DB" w:rsidP="007937DB">
            <w:pPr>
              <w:snapToGrid w:val="0"/>
              <w:jc w:val="both"/>
              <w:rPr>
                <w:rFonts w:eastAsia="Times New Roman"/>
              </w:rPr>
            </w:pPr>
            <w:r>
              <w:rPr>
                <w:rFonts w:eastAsia="Times New Roman"/>
              </w:rPr>
              <w:t xml:space="preserve">     -</w:t>
            </w:r>
            <w:r>
              <w:t xml:space="preserve"> </w:t>
            </w:r>
            <w:r w:rsidRPr="00110AE3">
              <w:rPr>
                <w:rFonts w:eastAsia="Times New Roman"/>
              </w:rPr>
              <w:t>Бензин автомобільний  А-95-Євро5-Е5</w:t>
            </w:r>
            <w:r>
              <w:rPr>
                <w:rFonts w:eastAsia="Times New Roman"/>
              </w:rPr>
              <w:t xml:space="preserve"> </w:t>
            </w:r>
            <w:r w:rsidRPr="00B93A0A">
              <w:rPr>
                <w:rFonts w:eastAsia="Times New Roman"/>
              </w:rPr>
              <w:t xml:space="preserve">– </w:t>
            </w:r>
            <w:r w:rsidR="00B771C1">
              <w:rPr>
                <w:rFonts w:eastAsia="Times New Roman"/>
                <w:lang w:val="ru-RU"/>
              </w:rPr>
              <w:t xml:space="preserve">5 </w:t>
            </w:r>
            <w:r w:rsidR="00A2591A">
              <w:rPr>
                <w:rFonts w:eastAsia="Times New Roman"/>
                <w:lang w:val="ru-RU"/>
              </w:rPr>
              <w:t>770</w:t>
            </w:r>
            <w:r w:rsidRPr="00B93A0A">
              <w:rPr>
                <w:rFonts w:eastAsia="Times New Roman"/>
              </w:rPr>
              <w:t xml:space="preserve"> л</w:t>
            </w:r>
            <w:r>
              <w:rPr>
                <w:rFonts w:eastAsia="Times New Roman"/>
              </w:rPr>
              <w:t>;</w:t>
            </w:r>
          </w:p>
          <w:p w14:paraId="5AC7CB14" w14:textId="38E1FA73" w:rsidR="007937DB" w:rsidRDefault="007937DB" w:rsidP="007937DB">
            <w:pPr>
              <w:snapToGrid w:val="0"/>
              <w:jc w:val="both"/>
              <w:rPr>
                <w:rFonts w:eastAsia="Times New Roman"/>
              </w:rPr>
            </w:pPr>
            <w:r>
              <w:rPr>
                <w:rFonts w:eastAsia="Times New Roman"/>
              </w:rPr>
              <w:t xml:space="preserve">     - </w:t>
            </w:r>
            <w:r w:rsidRPr="00110AE3">
              <w:rPr>
                <w:rFonts w:eastAsia="Times New Roman"/>
              </w:rPr>
              <w:t xml:space="preserve">Паливо дизельне ДП-Л-Євро5-ВО </w:t>
            </w:r>
            <w:r>
              <w:rPr>
                <w:rFonts w:eastAsia="Times New Roman"/>
              </w:rPr>
              <w:t xml:space="preserve"> </w:t>
            </w:r>
            <w:r w:rsidRPr="00B93A0A">
              <w:rPr>
                <w:rFonts w:eastAsia="Times New Roman"/>
              </w:rPr>
              <w:t xml:space="preserve">– </w:t>
            </w:r>
            <w:r w:rsidR="00B771C1">
              <w:rPr>
                <w:rFonts w:eastAsia="Times New Roman"/>
                <w:lang w:val="ru-RU"/>
              </w:rPr>
              <w:t>7</w:t>
            </w:r>
            <w:r w:rsidR="00A2591A">
              <w:rPr>
                <w:rFonts w:eastAsia="Times New Roman"/>
                <w:lang w:val="ru-RU"/>
              </w:rPr>
              <w:t>5</w:t>
            </w:r>
            <w:r w:rsidR="00B771C1">
              <w:rPr>
                <w:rFonts w:eastAsia="Times New Roman"/>
                <w:lang w:val="ru-RU"/>
              </w:rPr>
              <w:t>0</w:t>
            </w:r>
            <w:r w:rsidRPr="00B93A0A">
              <w:rPr>
                <w:rFonts w:eastAsia="Times New Roman"/>
              </w:rPr>
              <w:t xml:space="preserve"> л</w:t>
            </w:r>
            <w:r>
              <w:rPr>
                <w:rFonts w:eastAsia="Times New Roman"/>
              </w:rPr>
              <w:t xml:space="preserve"> (далі по тексту – паливо, пальне або товар)</w:t>
            </w:r>
          </w:p>
          <w:p w14:paraId="3DC6B314" w14:textId="77777777" w:rsidR="007937DB" w:rsidRDefault="007937DB" w:rsidP="007937DB">
            <w:pPr>
              <w:snapToGrid w:val="0"/>
              <w:jc w:val="both"/>
              <w:rPr>
                <w:rFonts w:eastAsia="Times New Roman"/>
              </w:rPr>
            </w:pPr>
          </w:p>
          <w:p w14:paraId="3351EC9B" w14:textId="719CAE38" w:rsidR="003F5627" w:rsidRDefault="007937DB" w:rsidP="007937DB">
            <w:pPr>
              <w:suppressAutoHyphens/>
              <w:spacing w:line="252" w:lineRule="auto"/>
              <w:rPr>
                <w:rFonts w:eastAsia="Calibri"/>
                <w:b/>
                <w:bCs/>
                <w:i/>
                <w:iCs/>
                <w:sz w:val="22"/>
                <w:szCs w:val="22"/>
                <w:lang w:eastAsia="zh-CN"/>
              </w:rPr>
            </w:pPr>
            <w:r w:rsidRPr="004562AD">
              <w:t xml:space="preserve">Поставка товару здійснюється за рахунок Постачальника у вигляді </w:t>
            </w:r>
            <w:r>
              <w:t>талонів/</w:t>
            </w:r>
            <w:r w:rsidRPr="004562AD">
              <w:t>скрейч-карт</w:t>
            </w:r>
            <w:r>
              <w:t>/штрих-карт (далі – талони)</w:t>
            </w:r>
            <w:r w:rsidRPr="004562AD">
              <w:t xml:space="preserve"> по 10</w:t>
            </w:r>
            <w:r>
              <w:t xml:space="preserve"> л та</w:t>
            </w:r>
            <w:r w:rsidRPr="004562AD">
              <w:t xml:space="preserve"> 20 л для використання на </w:t>
            </w:r>
            <w:r w:rsidR="004815C9" w:rsidRPr="004562AD">
              <w:t>автозаправних</w:t>
            </w:r>
            <w:r w:rsidRPr="004562AD">
              <w:t xml:space="preserve"> </w:t>
            </w:r>
            <w:r w:rsidRPr="00666E8E">
              <w:t>станціях</w:t>
            </w:r>
            <w:r>
              <w:t xml:space="preserve"> (АЗС або АЗК)</w:t>
            </w:r>
            <w:r w:rsidRPr="00666E8E">
              <w:t xml:space="preserve"> України</w:t>
            </w:r>
            <w:r>
              <w:t>.</w:t>
            </w:r>
          </w:p>
          <w:p w14:paraId="54578DC3" w14:textId="77777777" w:rsidR="00557216" w:rsidRDefault="00557216" w:rsidP="00D33401">
            <w:pPr>
              <w:suppressAutoHyphens/>
              <w:spacing w:line="252" w:lineRule="auto"/>
              <w:rPr>
                <w:rFonts w:eastAsia="Calibri"/>
                <w:b/>
                <w:bCs/>
                <w:i/>
                <w:iCs/>
                <w:sz w:val="22"/>
                <w:szCs w:val="22"/>
                <w:lang w:eastAsia="zh-CN"/>
              </w:rPr>
            </w:pPr>
          </w:p>
          <w:p w14:paraId="1B1FA390" w14:textId="3E5FF669" w:rsidR="00D33401" w:rsidRDefault="00D33401" w:rsidP="00D33401">
            <w:pPr>
              <w:suppressAutoHyphens/>
              <w:spacing w:line="252" w:lineRule="auto"/>
              <w:rPr>
                <w:rFonts w:eastAsia="Calibri"/>
                <w:b/>
                <w:bCs/>
                <w:i/>
                <w:iCs/>
                <w:sz w:val="22"/>
                <w:szCs w:val="22"/>
                <w:lang w:eastAsia="zh-CN"/>
              </w:rPr>
            </w:pPr>
            <w:r w:rsidRPr="003E152D">
              <w:rPr>
                <w:rFonts w:eastAsia="Calibri"/>
                <w:b/>
                <w:bCs/>
                <w:i/>
                <w:iCs/>
                <w:sz w:val="22"/>
                <w:szCs w:val="22"/>
                <w:lang w:eastAsia="zh-CN"/>
              </w:rPr>
              <w:lastRenderedPageBreak/>
              <w:t>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та своїм призначенням відповідає вимогам, встановленим Замовником, або є кращим.</w:t>
            </w:r>
            <w:r w:rsidR="00A2591A">
              <w:rPr>
                <w:rFonts w:eastAsia="Calibri"/>
                <w:b/>
                <w:bCs/>
                <w:i/>
                <w:iCs/>
                <w:sz w:val="22"/>
                <w:szCs w:val="22"/>
                <w:lang w:eastAsia="zh-CN"/>
              </w:rPr>
              <w:t xml:space="preserve"> </w:t>
            </w:r>
          </w:p>
          <w:p w14:paraId="027CE48D" w14:textId="3A06B1B4" w:rsidR="00A2591A" w:rsidRPr="003E152D" w:rsidRDefault="00A2591A" w:rsidP="00D33401">
            <w:pPr>
              <w:suppressAutoHyphens/>
              <w:spacing w:line="252" w:lineRule="auto"/>
              <w:rPr>
                <w:rFonts w:ascii="Calibri" w:eastAsia="Calibri" w:hAnsi="Calibri" w:cs="Calibri"/>
                <w:b/>
                <w:bCs/>
                <w:i/>
                <w:iCs/>
                <w:sz w:val="20"/>
                <w:szCs w:val="20"/>
                <w:lang w:eastAsia="zh-CN"/>
              </w:rPr>
            </w:pPr>
            <w:r>
              <w:t xml:space="preserve">Згідно п.2 Постанови </w:t>
            </w:r>
            <w:r w:rsidRPr="008D37D7">
              <w:t>Кабінету Міністрів України від 12 жовтня 2022 р. № 1178</w:t>
            </w:r>
            <w:r>
              <w:t xml:space="preserve"> </w:t>
            </w:r>
            <w:r>
              <w:rPr>
                <w:color w:val="333333"/>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74C0147" w14:textId="1EC1A777" w:rsidR="009C4189" w:rsidRPr="00F847A8" w:rsidRDefault="009C4189" w:rsidP="006F1429">
            <w:pPr>
              <w:jc w:val="both"/>
              <w:rPr>
                <w:bCs/>
                <w:i/>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4FD1F906" w:rsidR="009C4189" w:rsidRPr="003F3ABF" w:rsidRDefault="007937DB" w:rsidP="005E2F7B">
            <w:pPr>
              <w:rPr>
                <w:bCs/>
                <w:iCs/>
              </w:rPr>
            </w:pPr>
            <w:r w:rsidRPr="00666E8E">
              <w:t xml:space="preserve">Постачання товару здійснюється </w:t>
            </w:r>
            <w:r w:rsidRPr="00666E8E">
              <w:rPr>
                <w:rFonts w:eastAsia="Times New Roman"/>
              </w:rPr>
              <w:t xml:space="preserve">партіями впродовж всього терміну дії договору </w:t>
            </w:r>
            <w:r>
              <w:rPr>
                <w:rFonts w:eastAsia="Times New Roman"/>
              </w:rPr>
              <w:t>(до 31.12.202</w:t>
            </w:r>
            <w:r w:rsidR="00B771C1">
              <w:rPr>
                <w:rFonts w:eastAsia="Times New Roman"/>
                <w:lang w:val="ru-RU"/>
              </w:rPr>
              <w:t>4</w:t>
            </w:r>
            <w:r>
              <w:rPr>
                <w:rFonts w:eastAsia="Times New Roman"/>
              </w:rPr>
              <w:t xml:space="preserve"> р.) </w:t>
            </w:r>
            <w:r w:rsidRPr="00666E8E">
              <w:rPr>
                <w:rFonts w:eastAsia="Times New Roman"/>
              </w:rPr>
              <w:t>згідно заявок Покупця, протягом 2-х календарних днів з моменту отримання заявки Постачальником</w:t>
            </w:r>
            <w:r w:rsidRPr="00666E8E">
              <w:t xml:space="preserve"> за рахунок Постачальника у вигляді </w:t>
            </w:r>
            <w:r>
              <w:t>талонів</w:t>
            </w:r>
            <w:r w:rsidRPr="00666E8E">
              <w:t xml:space="preserve"> по 10</w:t>
            </w:r>
            <w:r>
              <w:t xml:space="preserve"> л та</w:t>
            </w:r>
            <w:r w:rsidRPr="00666E8E">
              <w:t xml:space="preserve"> 20 л для використання на </w:t>
            </w:r>
            <w:r>
              <w:t>АЗС</w:t>
            </w:r>
            <w:r w:rsidRPr="00666E8E">
              <w:t xml:space="preserve"> </w:t>
            </w:r>
            <w:r w:rsidR="004815C9">
              <w:rPr>
                <w:lang w:val="ru-RU"/>
              </w:rPr>
              <w:t>(</w:t>
            </w:r>
            <w:r w:rsidR="004815C9">
              <w:t>або АЗК</w:t>
            </w:r>
            <w:r w:rsidR="004815C9">
              <w:rPr>
                <w:lang w:val="ru-RU"/>
              </w:rPr>
              <w:t>)</w:t>
            </w:r>
            <w:r w:rsidR="004815C9" w:rsidRPr="00666E8E">
              <w:t xml:space="preserve"> </w:t>
            </w:r>
            <w:r w:rsidRPr="00666E8E">
              <w:t>України</w:t>
            </w:r>
            <w:r w:rsidRPr="00666E8E">
              <w:rPr>
                <w:lang w:val="ru-RU"/>
              </w:rPr>
              <w:t>.</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B90A73">
              <w:rPr>
                <w:sz w:val="22"/>
                <w:szCs w:val="22"/>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lastRenderedPageBreak/>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w:t>
            </w:r>
            <w:r w:rsidRPr="00573333">
              <w:rPr>
                <w:sz w:val="22"/>
                <w:szCs w:val="22"/>
              </w:rPr>
              <w:lastRenderedPageBreak/>
              <w:t>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 xml:space="preserve">абзаці </w:t>
              </w:r>
              <w:r w:rsidRPr="00573333">
                <w:rPr>
                  <w:sz w:val="22"/>
                  <w:szCs w:val="22"/>
                  <w:shd w:val="clear" w:color="auto" w:fill="FFFFFF"/>
                </w:rPr>
                <w:lastRenderedPageBreak/>
                <w:t>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0835DA91"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A2591A">
              <w:rPr>
                <w:b/>
                <w:sz w:val="22"/>
                <w:szCs w:val="22"/>
              </w:rPr>
              <w:t>2</w:t>
            </w:r>
            <w:r w:rsidR="00D333FA">
              <w:rPr>
                <w:b/>
                <w:sz w:val="22"/>
                <w:szCs w:val="22"/>
              </w:rPr>
              <w:t>7</w:t>
            </w:r>
            <w:r w:rsidR="00AF0EFB" w:rsidRPr="00573333">
              <w:rPr>
                <w:b/>
                <w:sz w:val="22"/>
                <w:szCs w:val="22"/>
              </w:rPr>
              <w:t xml:space="preserve">» </w:t>
            </w:r>
            <w:r w:rsidR="00B771C1">
              <w:rPr>
                <w:b/>
                <w:sz w:val="22"/>
                <w:szCs w:val="22"/>
                <w:lang w:val="ru-RU"/>
              </w:rPr>
              <w:t>лютого</w:t>
            </w:r>
            <w:r w:rsidR="00AF0EFB" w:rsidRPr="00573333">
              <w:rPr>
                <w:b/>
                <w:sz w:val="22"/>
                <w:szCs w:val="22"/>
              </w:rPr>
              <w:t xml:space="preserve"> </w:t>
            </w:r>
            <w:r w:rsidRPr="00573333">
              <w:rPr>
                <w:b/>
                <w:sz w:val="22"/>
                <w:szCs w:val="22"/>
              </w:rPr>
              <w:t>202</w:t>
            </w:r>
            <w:r w:rsidR="00B771C1">
              <w:rPr>
                <w:b/>
                <w:sz w:val="22"/>
                <w:szCs w:val="22"/>
                <w:lang w:val="ru-RU"/>
              </w:rPr>
              <w:t>4</w:t>
            </w:r>
            <w:r w:rsidRPr="00573333">
              <w:rPr>
                <w:b/>
                <w:sz w:val="22"/>
                <w:szCs w:val="22"/>
              </w:rPr>
              <w:t xml:space="preserve">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573333">
              <w:rPr>
                <w:rFonts w:eastAsia="Times New Roman"/>
                <w:sz w:val="22"/>
                <w:szCs w:val="22"/>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852169">
              <w:rPr>
                <w:rFonts w:eastAsia="Times New Roman"/>
                <w:sz w:val="22"/>
                <w:szCs w:val="22"/>
              </w:rPr>
              <w:lastRenderedPageBreak/>
              <w:t>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lastRenderedPageBreak/>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lastRenderedPageBreak/>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ABD1" w14:textId="77777777" w:rsidR="00550977" w:rsidRDefault="00550977">
      <w:r>
        <w:separator/>
      </w:r>
    </w:p>
  </w:endnote>
  <w:endnote w:type="continuationSeparator" w:id="0">
    <w:p w14:paraId="6831AA27" w14:textId="77777777" w:rsidR="00550977" w:rsidRDefault="0055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D908" w14:textId="77777777" w:rsidR="00550977" w:rsidRDefault="00550977">
      <w:r>
        <w:separator/>
      </w:r>
    </w:p>
  </w:footnote>
  <w:footnote w:type="continuationSeparator" w:id="0">
    <w:p w14:paraId="15DBFB5E" w14:textId="77777777" w:rsidR="00550977" w:rsidRDefault="0055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37BA"/>
    <w:rsid w:val="000A4EE1"/>
    <w:rsid w:val="000A7403"/>
    <w:rsid w:val="000A7F0E"/>
    <w:rsid w:val="000B10DE"/>
    <w:rsid w:val="000B12EE"/>
    <w:rsid w:val="000B1361"/>
    <w:rsid w:val="000B22DB"/>
    <w:rsid w:val="000B2AE7"/>
    <w:rsid w:val="000B2E56"/>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3D0D"/>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4FEB"/>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4841"/>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4A4"/>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58F"/>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15C9"/>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0977"/>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72B"/>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7DB"/>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2D4C"/>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773BD"/>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91A"/>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1C1"/>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B61D2"/>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3FA"/>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45C86"/>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5658</Words>
  <Characters>32255</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37838</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2024-02-19T10:43:00Z</dcterms:created>
  <dcterms:modified xsi:type="dcterms:W3CDTF">2024-02-19T11:01:00Z</dcterms:modified>
</cp:coreProperties>
</file>