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4" w:rsidRPr="003D117F" w:rsidRDefault="003D117F" w:rsidP="00957444">
      <w:pPr>
        <w:jc w:val="right"/>
        <w:rPr>
          <w:bCs/>
        </w:rPr>
      </w:pPr>
      <w:r w:rsidRPr="003D117F">
        <w:rPr>
          <w:bCs/>
        </w:rPr>
        <w:t>Додаток №3</w:t>
      </w:r>
    </w:p>
    <w:p w:rsidR="003D117F" w:rsidRDefault="003D117F" w:rsidP="00957444">
      <w:pPr>
        <w:jc w:val="right"/>
        <w:rPr>
          <w:bCs/>
        </w:rPr>
      </w:pPr>
      <w:r w:rsidRPr="003D117F">
        <w:rPr>
          <w:bCs/>
        </w:rPr>
        <w:t>до тендерної документації</w:t>
      </w:r>
    </w:p>
    <w:p w:rsidR="003D117F" w:rsidRDefault="003D117F" w:rsidP="00957444">
      <w:pPr>
        <w:jc w:val="right"/>
        <w:rPr>
          <w:bCs/>
        </w:rPr>
      </w:pPr>
    </w:p>
    <w:p w:rsidR="003D117F" w:rsidRPr="003D117F" w:rsidRDefault="003D117F" w:rsidP="00957444">
      <w:pPr>
        <w:jc w:val="right"/>
        <w:rPr>
          <w:bCs/>
        </w:rPr>
      </w:pPr>
      <w:bookmarkStart w:id="0" w:name="_GoBack"/>
      <w:bookmarkEnd w:id="0"/>
    </w:p>
    <w:p w:rsidR="00957444" w:rsidRDefault="00957444" w:rsidP="00957444">
      <w:pPr>
        <w:jc w:val="right"/>
        <w:rPr>
          <w:b/>
          <w:bCs/>
        </w:rPr>
      </w:pPr>
    </w:p>
    <w:p w:rsidR="00957444" w:rsidRDefault="00957444" w:rsidP="00957444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Перелік документів та інформації  для підтвердження відповідності </w:t>
      </w:r>
    </w:p>
    <w:p w:rsidR="00957444" w:rsidRDefault="00957444" w:rsidP="00957444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учасника кваліфікаційним критеріям, визначеним у статті 16 Закону </w:t>
      </w:r>
    </w:p>
    <w:p w:rsidR="00957444" w:rsidRDefault="00957444" w:rsidP="00957444">
      <w:pPr>
        <w:pStyle w:val="1"/>
        <w:spacing w:after="0"/>
        <w:jc w:val="left"/>
        <w:rPr>
          <w:bCs/>
          <w:i w:val="0"/>
          <w:color w:val="000000"/>
          <w:sz w:val="24"/>
          <w:szCs w:val="24"/>
        </w:rPr>
      </w:pPr>
    </w:p>
    <w:p w:rsidR="00957444" w:rsidRDefault="00957444" w:rsidP="00957444">
      <w:pPr>
        <w:rPr>
          <w:sz w:val="16"/>
          <w:szCs w:val="16"/>
        </w:rPr>
      </w:pPr>
    </w:p>
    <w:p w:rsidR="00957444" w:rsidRDefault="00957444" w:rsidP="00957444">
      <w:pPr>
        <w:ind w:left="-567" w:right="141" w:firstLine="993"/>
        <w:jc w:val="both"/>
        <w:rPr>
          <w:color w:val="000000"/>
        </w:rPr>
      </w:pPr>
      <w:r>
        <w:t xml:space="preserve">При проведенні відкритих торгів згідно з Особливостями для закупівлі товару </w:t>
      </w:r>
      <w:r>
        <w:rPr>
          <w:b/>
        </w:rPr>
        <w:t>положення частини другої статті 16 Закону України «Про публічні закупівлі» замовником не застосовуються</w:t>
      </w:r>
      <w:r>
        <w:t xml:space="preserve"> відповідно до пункту 29,48 Особливостей.</w:t>
      </w:r>
    </w:p>
    <w:p w:rsidR="00957444" w:rsidRDefault="00957444" w:rsidP="00957444">
      <w:pPr>
        <w:ind w:right="141" w:firstLine="426"/>
        <w:jc w:val="both"/>
        <w:rPr>
          <w:color w:val="000000"/>
          <w:sz w:val="16"/>
          <w:szCs w:val="16"/>
          <w:highlight w:val="yellow"/>
        </w:rPr>
      </w:pPr>
    </w:p>
    <w:p w:rsidR="00957444" w:rsidRDefault="00957444" w:rsidP="00957444"/>
    <w:p w:rsidR="006C0994" w:rsidRDefault="003D117F"/>
    <w:sectPr w:rsidR="006C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10"/>
    <w:rsid w:val="00107410"/>
    <w:rsid w:val="003D117F"/>
    <w:rsid w:val="00957444"/>
    <w:rsid w:val="009A060A"/>
    <w:rsid w:val="00C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57444"/>
    <w:pPr>
      <w:spacing w:after="120"/>
      <w:jc w:val="center"/>
    </w:pPr>
    <w:rPr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57444"/>
    <w:pPr>
      <w:spacing w:after="120"/>
      <w:jc w:val="center"/>
    </w:pPr>
    <w:rPr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2024-02-27T13:38:00Z</dcterms:created>
  <dcterms:modified xsi:type="dcterms:W3CDTF">2024-02-27T13:40:00Z</dcterms:modified>
</cp:coreProperties>
</file>