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3FA6" w14:textId="77777777" w:rsidR="00E85520" w:rsidRDefault="00E85520" w:rsidP="00E855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5520">
        <w:rPr>
          <w:rFonts w:ascii="Times New Roman" w:hAnsi="Times New Roman" w:cs="Times New Roman"/>
          <w:b/>
          <w:sz w:val="24"/>
          <w:szCs w:val="24"/>
        </w:rPr>
        <w:t>Додаток 3 до Тендерної документації</w:t>
      </w:r>
    </w:p>
    <w:p w14:paraId="420B90A2" w14:textId="77777777" w:rsidR="00E85520" w:rsidRDefault="00E85520" w:rsidP="00E8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ТЕХНІЧНЕ     ЗАВДАННЯ</w:t>
      </w:r>
    </w:p>
    <w:p w14:paraId="75BEEF36" w14:textId="77777777" w:rsidR="0095054C" w:rsidRDefault="0095054C" w:rsidP="0095054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eastAsia="ru-RU"/>
        </w:rPr>
      </w:pPr>
      <w:r w:rsidRPr="009505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eastAsia="ru-RU"/>
        </w:rPr>
        <w:t>Послуги із встановлення та підключення джерела резервного живлення (дизельного генератора) в КНП" Жидачівська МЛ" по вул. Ярослава Мудрого, 29, м. Жидачів, Львівська область ( Код ДК 021:2015: 51110000-6 - Послуги зі встановлення електричного обладнання)</w:t>
      </w:r>
    </w:p>
    <w:p w14:paraId="143CFE49" w14:textId="4966545A" w:rsidR="004E57EB" w:rsidRPr="003E5AA2" w:rsidRDefault="004E57EB" w:rsidP="00E57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5AA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 разі, якщо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технічне завдання</w:t>
      </w:r>
      <w:r w:rsidRPr="003E5AA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Pr="003E5AA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технічні специфікації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r w:rsidRPr="003E5AA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містять посилання на конкретні марку чи виробника або на конкретний процес, що характеризує продукт чи послугу певного суб</w:t>
      </w:r>
      <w:r w:rsidRPr="003E5AA2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’</w:t>
      </w:r>
      <w:r w:rsidRPr="003E5AA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єкта господарювання, чи на торгові марки, патенти, типи або конкретне місце походження чи спосіб виробництва – читати «або еквівалент». В разі наявності в технічному завданні (технічній специфікації) посилання на конкретну торговельну марку чи фірму, патент, конструкцію або тип предмета закупівлі, джерело його походження  або виробника, таке посилання обґрунтоване тим, що технічна специфікація сформована з відомостей обсягів робіт, які є частиною проектно-кошторисної документації, яка розроблена проектною організацією, яка має відповідні знання та компетенцію, та затверджена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експертним звітом</w:t>
      </w:r>
      <w:r w:rsidRPr="003E5AA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14:paraId="02F3F6E3" w14:textId="77777777" w:rsidR="009101B4" w:rsidRPr="004E57EB" w:rsidRDefault="009101B4" w:rsidP="00910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 w:bidi="uk-UA"/>
        </w:rPr>
      </w:pPr>
    </w:p>
    <w:p w14:paraId="64531710" w14:textId="77777777" w:rsidR="009101B4" w:rsidRPr="009101B4" w:rsidRDefault="00147B28" w:rsidP="009101B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="009101B4" w:rsidRPr="009101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Основні технічні характеристики:</w:t>
      </w:r>
    </w:p>
    <w:p w14:paraId="2E4334E2" w14:textId="50F4B0D9" w:rsidR="00C950DB" w:rsidRPr="00C950DB" w:rsidRDefault="009101B4" w:rsidP="00E5783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Найменування </w:t>
      </w:r>
      <w:r w:rsidR="0095054C">
        <w:rPr>
          <w:rFonts w:ascii="Times New Roman" w:eastAsia="Calibri" w:hAnsi="Times New Roman" w:cs="Times New Roman"/>
          <w:sz w:val="24"/>
          <w:szCs w:val="24"/>
          <w:lang w:eastAsia="ru-RU"/>
        </w:rPr>
        <w:t>послуг</w:t>
      </w:r>
      <w:r w:rsidRPr="0091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95054C" w:rsidRPr="00950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Послуги із встановлення та підключення джерела резервного живлення (дизельного генератора) в КНП" Жидачівська МЛ" по вул. Ярослава Мудрого, 29, м. Жидачів, Львівська область</w:t>
      </w:r>
      <w:r w:rsidR="00C15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7C32FF75" w14:textId="05CFF061" w:rsidR="009101B4" w:rsidRDefault="009101B4" w:rsidP="0091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Кількість: </w:t>
      </w:r>
      <w:r w:rsidR="00B70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95054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послуга </w:t>
      </w:r>
      <w:r w:rsidRPr="009101B4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договірної ціни.</w:t>
      </w:r>
    </w:p>
    <w:p w14:paraId="667ACA91" w14:textId="00C21F75" w:rsidR="009101B4" w:rsidRPr="009101B4" w:rsidRDefault="0095054C" w:rsidP="00147B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Послуги</w:t>
      </w:r>
      <w:r w:rsidR="009101B4" w:rsidRPr="0091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матеріальні ресурси, що використовуються для їх виконання, повинні відповідати вимогам чинного законодавства, державних будівельних норм, інших нормативно-правових актів і нормативних документів у галузі будівництва, проектній документації та умовам Договору.</w:t>
      </w:r>
    </w:p>
    <w:p w14:paraId="28365905" w14:textId="155F27E2" w:rsidR="002A181E" w:rsidRPr="002A181E" w:rsidRDefault="0095054C" w:rsidP="003E5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Виконавець</w:t>
      </w:r>
      <w:r w:rsidR="002A181E" w:rsidRPr="002A18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гарантує якість закінчених робіт і змонтованих конструкцій, досягнення показників, визначених у проектній документації, та можливість їх експлуатації Об'єкта будівництва протягом гарантійного строку.</w:t>
      </w:r>
    </w:p>
    <w:p w14:paraId="4801E5BD" w14:textId="37158150" w:rsidR="002A181E" w:rsidRPr="002A181E" w:rsidRDefault="00C950DB" w:rsidP="002A1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</w:t>
      </w:r>
      <w:r w:rsidR="002A181E" w:rsidRPr="002A181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Гарантійний строк експлуатації Об’єкта будівництва становить не менше </w:t>
      </w:r>
      <w:r w:rsidR="0095054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</w:t>
      </w:r>
      <w:r w:rsidR="00F16E0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-ти років від дня його прийняття З</w:t>
      </w:r>
      <w:r w:rsidR="002A181E" w:rsidRPr="002A181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амовником. </w:t>
      </w:r>
    </w:p>
    <w:p w14:paraId="0BD76419" w14:textId="77777777" w:rsidR="002A181E" w:rsidRDefault="002A181E" w:rsidP="003E5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A181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Гарантійний строк продовжується на час, протягом якого Об’єкт не міг експлуатуватися внаслідок недоліків, які виникли з вини підрядника.</w:t>
      </w:r>
    </w:p>
    <w:p w14:paraId="6127BDCA" w14:textId="77777777" w:rsidR="003E5AA2" w:rsidRPr="003E5AA2" w:rsidRDefault="003E5AA2" w:rsidP="003E5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Учасник </w:t>
      </w:r>
      <w:r w:rsidR="00F668C7">
        <w:rPr>
          <w:rFonts w:ascii="Times New Roman" w:eastAsia="Calibri" w:hAnsi="Times New Roman" w:cs="Times New Roman"/>
          <w:sz w:val="24"/>
          <w:szCs w:val="24"/>
          <w:lang w:eastAsia="ru-RU"/>
        </w:rPr>
        <w:t>закупівлі</w:t>
      </w:r>
      <w:r w:rsidRPr="003E5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має право подати пропозиції, що містять матеріали та обладнання відмінні від зазначеного в технічний специфікації, в разі якщо ці матеріали та обладнання по своїм технічним та експлуатаційним характеристикам відповідають зазначеним в специфікації.</w:t>
      </w:r>
    </w:p>
    <w:p w14:paraId="32E7590A" w14:textId="5231AC46" w:rsidR="00F513B6" w:rsidRPr="0095054C" w:rsidRDefault="00F668C7" w:rsidP="00950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F513B6" w:rsidRPr="0095054C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  <w:r w:rsidRPr="00F668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Учасник у складі пропозиції повинен надати лист-згоду з умовами технічного завдання, скріплен</w:t>
      </w:r>
      <w:r w:rsidR="00EB14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ий</w:t>
      </w:r>
      <w:r w:rsidRPr="00F668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підписом та печаткою(в разі застосування) Учасника</w:t>
      </w:r>
      <w:r w:rsidR="00EB14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також Технічне завдання (Додаток 3 до Тендерної документації), </w:t>
      </w:r>
      <w:r w:rsidR="00EB1447" w:rsidRPr="00EB14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скріплен</w:t>
      </w:r>
      <w:r w:rsidR="00EB14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EB1447" w:rsidRPr="00EB14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підписом та печаткою</w:t>
      </w:r>
      <w:r w:rsidR="00EB14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B1447" w:rsidRPr="00EB14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 разі застосування) Учасника</w:t>
      </w:r>
      <w:r w:rsidR="00EB14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як гарантія дотримання всіх вимог Учасником при виконанні робіт</w:t>
      </w:r>
      <w:r w:rsidRPr="00F668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65DDACEF" w14:textId="1579E2B3" w:rsidR="00052D00" w:rsidRPr="00EB1447" w:rsidRDefault="00052D00" w:rsidP="00EB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245"/>
        <w:gridCol w:w="992"/>
        <w:gridCol w:w="992"/>
      </w:tblGrid>
      <w:tr w:rsidR="0095054C" w:rsidRPr="0095054C" w14:paraId="19B03E57" w14:textId="77777777" w:rsidTr="0095054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F98EC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60E75DC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Ч.ч.</w:t>
            </w:r>
          </w:p>
          <w:p w14:paraId="2705944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7168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958D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3901473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58AB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Кіль-</w:t>
            </w:r>
          </w:p>
          <w:p w14:paraId="3276FC0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кість</w:t>
            </w:r>
          </w:p>
        </w:tc>
      </w:tr>
      <w:tr w:rsidR="0095054C" w:rsidRPr="0095054C" w14:paraId="249FE172" w14:textId="77777777" w:rsidTr="0095054C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456C1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4DA8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A3034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7EC44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54C" w:rsidRPr="0095054C" w14:paraId="150ED346" w14:textId="77777777" w:rsidTr="0095054C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9885BE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E2D1C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558A6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AB19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54C" w:rsidRPr="0095054C" w14:paraId="507D5713" w14:textId="77777777" w:rsidTr="0095054C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CBDB33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98D5F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313BCB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FC31F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54C" w:rsidRPr="0095054C" w14:paraId="182DF333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82536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24CE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F7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CA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95054C" w:rsidRPr="0095054C" w14:paraId="53D406E0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D7BA47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F61B1DC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1286E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8BFD4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54C" w:rsidRPr="0095054C" w14:paraId="4E3E70FB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189792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33E5A7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054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Роздiл 1. Монтажні роботи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4D37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C037B" w14:textId="77777777" w:rsidR="0095054C" w:rsidRPr="0095054C" w:rsidRDefault="0095054C" w:rsidP="00D1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54C" w:rsidRPr="0095054C" w14:paraId="6006CE68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812B3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5D33A1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(Демонтаж) Лічильник трифазний, що</w:t>
            </w:r>
          </w:p>
          <w:p w14:paraId="7367B14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установлюється на готовій основі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8205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C0A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5E2885E1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29578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FABBE8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(Демонтаж) Монтаж трансформатора</w:t>
            </w:r>
          </w:p>
          <w:p w14:paraId="7ABA16F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струму напругою до 10 кВ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EEEC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DA7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</w:t>
            </w:r>
          </w:p>
        </w:tc>
      </w:tr>
      <w:tr w:rsidR="0095054C" w:rsidRPr="0095054C" w14:paraId="2BAA90EC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A4FE9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DC6A2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Монтаж боксу металевого 1600х1000х300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2746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8596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2B8FD448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672B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7C288B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Вимикач автоматичний [автомат] одно-,</w:t>
            </w:r>
          </w:p>
          <w:p w14:paraId="6D02A11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дво-, триполюсний, що установлюється</w:t>
            </w:r>
          </w:p>
          <w:p w14:paraId="18EB422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 конструкції на стіні або колоні, струм</w:t>
            </w:r>
          </w:p>
          <w:p w14:paraId="1454C42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до 250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EA8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04AB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</w:t>
            </w:r>
          </w:p>
        </w:tc>
      </w:tr>
      <w:tr w:rsidR="0095054C" w:rsidRPr="0095054C" w14:paraId="0D180117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F9AA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32168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Провід, що прокладається по сталевих</w:t>
            </w:r>
          </w:p>
          <w:p w14:paraId="1897F77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конструкціях і панелях, переріз до 240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E663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3B30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0,55</w:t>
            </w:r>
          </w:p>
        </w:tc>
      </w:tr>
      <w:tr w:rsidR="0095054C" w:rsidRPr="0095054C" w14:paraId="2ECEF245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433E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535C00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4FB0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FFD2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</w:tr>
      <w:tr w:rsidR="0095054C" w:rsidRPr="0095054C" w14:paraId="46E853BE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3110A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A94A0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Провід, що прокладається по сталевих</w:t>
            </w:r>
          </w:p>
          <w:p w14:paraId="2189165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конструкціях і панелях, переріз до 120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B5C8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6F9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0,28</w:t>
            </w:r>
          </w:p>
        </w:tc>
      </w:tr>
      <w:tr w:rsidR="0095054C" w:rsidRPr="0095054C" w14:paraId="1AF96A71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E16FF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F69CAD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Провід, що прокладається по сталевих</w:t>
            </w:r>
          </w:p>
          <w:p w14:paraId="5896EA2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конструкціях і панелях, переріз до 16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AA6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392F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0,4</w:t>
            </w:r>
          </w:p>
        </w:tc>
      </w:tr>
      <w:tr w:rsidR="0095054C" w:rsidRPr="0095054C" w14:paraId="12BBE864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535A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B7B9EE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Рубильник [вимикач, роз'єднувач]</w:t>
            </w:r>
          </w:p>
          <w:p w14:paraId="608C088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триполюсний на плиті з центральною або</w:t>
            </w:r>
          </w:p>
          <w:p w14:paraId="7730834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бічною рукояткою або керуванням</w:t>
            </w:r>
          </w:p>
          <w:p w14:paraId="1B2A13C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штангою, що установлюється на</w:t>
            </w:r>
          </w:p>
          <w:p w14:paraId="3845042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металевій основі, струм до 400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C7C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5F52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</w:t>
            </w:r>
          </w:p>
        </w:tc>
      </w:tr>
      <w:tr w:rsidR="0095054C" w:rsidRPr="0095054C" w14:paraId="7B52A110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EEF6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42BDFD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Шина збірна - одна смуга в фазі, переріз до</w:t>
            </w:r>
          </w:p>
          <w:p w14:paraId="0237EBE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250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468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613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0,03</w:t>
            </w:r>
          </w:p>
        </w:tc>
      </w:tr>
      <w:tr w:rsidR="0095054C" w:rsidRPr="0095054C" w14:paraId="20BF0ED1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F9E43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2073D2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Укладання кабелів, супутні роботи при</w:t>
            </w:r>
          </w:p>
          <w:p w14:paraId="5AC137D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укладанні кабелів. Окінцювання жил кабеля</w:t>
            </w:r>
          </w:p>
          <w:p w14:paraId="4187071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напресуванням наконечників. Окінцювання</w:t>
            </w:r>
          </w:p>
          <w:p w14:paraId="7427159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жил кабеля з перерізом до 185 мм2 шляхом</w:t>
            </w:r>
          </w:p>
          <w:p w14:paraId="1A73B90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напресування наконечників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D97C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5B35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70</w:t>
            </w:r>
          </w:p>
        </w:tc>
      </w:tr>
      <w:tr w:rsidR="0095054C" w:rsidRPr="0095054C" w14:paraId="38CB50C8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8307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387459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Улаштування зашивки оргсклом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5857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E681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0,016</w:t>
            </w:r>
          </w:p>
        </w:tc>
      </w:tr>
      <w:tr w:rsidR="0095054C" w:rsidRPr="0095054C" w14:paraId="00D0DA1E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6E51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5B59FD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Закладення кінцеве з термоусадочними</w:t>
            </w:r>
          </w:p>
          <w:p w14:paraId="63C1B70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рукавицями для кабеля , переріз однієї</w:t>
            </w:r>
          </w:p>
          <w:p w14:paraId="19982D3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жили до 35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A5E8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736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</w:t>
            </w:r>
          </w:p>
        </w:tc>
      </w:tr>
      <w:tr w:rsidR="0095054C" w:rsidRPr="0095054C" w14:paraId="2B311746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C695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8B1948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Монтаж трансформатора струму</w:t>
            </w:r>
          </w:p>
          <w:p w14:paraId="1F9AAB1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напругою до 10 кВ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B0B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90B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</w:t>
            </w:r>
          </w:p>
        </w:tc>
      </w:tr>
      <w:tr w:rsidR="0095054C" w:rsidRPr="0095054C" w14:paraId="4AB150CB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569AE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D2D682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Лічильник трифазний, що</w:t>
            </w:r>
          </w:p>
          <w:p w14:paraId="2201DFB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установлюється на готовій основі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F20E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E201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606D08FD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75581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DCD6E3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Монтаж колодки під лічильник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A4B5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8C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5B691DC6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FEC75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50E5E6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Перемикач [рубильник, що перемикає]</w:t>
            </w:r>
          </w:p>
          <w:p w14:paraId="3347E0F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триполюсний на плиті з приводом, що</w:t>
            </w:r>
          </w:p>
          <w:p w14:paraId="678E5E3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установлюється на металевій основі,</w:t>
            </w:r>
          </w:p>
          <w:p w14:paraId="5BC2235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струм до 250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206D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D17D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08EE3698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A8206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F4DCAD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Розведення по пристроях і підключення</w:t>
            </w:r>
          </w:p>
          <w:p w14:paraId="266C0D1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жил кабелів або проводів зовнішньої мережі</w:t>
            </w:r>
          </w:p>
          <w:p w14:paraId="1A3F543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до блоків затискачів і до затискачів</w:t>
            </w:r>
          </w:p>
          <w:p w14:paraId="0A8FB86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апаратів і приладів, установлених на</w:t>
            </w:r>
          </w:p>
          <w:p w14:paraId="46A1EDC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пристроях, переріз жили до 185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BEB7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100 жил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638C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0,25</w:t>
            </w:r>
          </w:p>
        </w:tc>
      </w:tr>
      <w:tr w:rsidR="0095054C" w:rsidRPr="0095054C" w14:paraId="7518B9AF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B10D15" w14:textId="77777777" w:rsidR="0095054C" w:rsidRPr="0095054C" w:rsidRDefault="0095054C" w:rsidP="009505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F483D9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Вимірювальні та пусконалагоджувальні</w:t>
            </w:r>
          </w:p>
          <w:p w14:paraId="716F37A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роботи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AFD3" w14:textId="77777777" w:rsidR="0095054C" w:rsidRPr="0095054C" w:rsidRDefault="0095054C" w:rsidP="009505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4074C" w14:textId="77777777" w:rsidR="0095054C" w:rsidRPr="0095054C" w:rsidRDefault="0095054C" w:rsidP="009505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</w:tc>
      </w:tr>
      <w:tr w:rsidR="0095054C" w:rsidRPr="0095054C" w14:paraId="7552D81C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986EE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D5525C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Трансформатор струму вимірювальний</w:t>
            </w:r>
          </w:p>
          <w:p w14:paraId="1696E7C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виносний, напруга до 1 кВ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6E61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20B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</w:t>
            </w:r>
          </w:p>
        </w:tc>
      </w:tr>
      <w:tr w:rsidR="0095054C" w:rsidRPr="0095054C" w14:paraId="4DF942E4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B8B8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408474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Пристрої, що заземлюють.  Вимірювання</w:t>
            </w:r>
          </w:p>
          <w:p w14:paraId="4CA2FB7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опору розтіканню струму контуру з</w:t>
            </w:r>
          </w:p>
          <w:p w14:paraId="239585B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діагоналлю до 20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22B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вимір.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785E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</w:t>
            </w:r>
          </w:p>
        </w:tc>
      </w:tr>
      <w:tr w:rsidR="0095054C" w:rsidRPr="0095054C" w14:paraId="18DCFB2C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7F95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AD61F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Пристрої, що заземлюють.  Перевірка</w:t>
            </w:r>
          </w:p>
          <w:p w14:paraId="3E946E7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наявності ланцюга між заземлювачами і</w:t>
            </w:r>
          </w:p>
          <w:p w14:paraId="5F5F93D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заземленими елементами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8790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 точ.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B38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0,25</w:t>
            </w:r>
          </w:p>
        </w:tc>
      </w:tr>
      <w:tr w:rsidR="0095054C" w:rsidRPr="0095054C" w14:paraId="25457D28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9C7D7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E245D4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Вимірювання опору ізоляції мегаомметром</w:t>
            </w:r>
          </w:p>
          <w:p w14:paraId="441C17C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кабельних і інших ліній, напруга до 1 кВ,</w:t>
            </w:r>
          </w:p>
          <w:p w14:paraId="04C83D9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призначених для передачі електроенергії</w:t>
            </w:r>
          </w:p>
          <w:p w14:paraId="10EF10E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розподільним пристроям, щитам, шафам і</w:t>
            </w:r>
          </w:p>
          <w:p w14:paraId="3E6892B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комутаційним апаратам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02DD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лінія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C0D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5</w:t>
            </w:r>
          </w:p>
        </w:tc>
      </w:tr>
      <w:tr w:rsidR="0095054C" w:rsidRPr="0095054C" w14:paraId="43A9EA38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DF3B1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72844C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Вимірювання опору ізоляції мегаомметром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292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вимір.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C0F0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16</w:t>
            </w:r>
          </w:p>
        </w:tc>
      </w:tr>
      <w:tr w:rsidR="0095054C" w:rsidRPr="0095054C" w14:paraId="457BD243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8B3C4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150227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Випробування підвищеною напругою</w:t>
            </w:r>
          </w:p>
          <w:p w14:paraId="1A46E9F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збірних і з’єднувальних шин, напруга до 11</w:t>
            </w:r>
          </w:p>
          <w:p w14:paraId="2D8ADEE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4D6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випроб.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674C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</w:t>
            </w:r>
          </w:p>
        </w:tc>
      </w:tr>
      <w:tr w:rsidR="0095054C" w:rsidRPr="0095054C" w14:paraId="137C167E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E1C7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A2726C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Випробування підвищеною напругою </w:t>
            </w:r>
          </w:p>
          <w:p w14:paraId="3B0822B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кабеля силового, напруга до 10 кВ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D90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випроб.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B399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6</w:t>
            </w:r>
          </w:p>
        </w:tc>
      </w:tr>
      <w:tr w:rsidR="0095054C" w:rsidRPr="0095054C" w14:paraId="4FA1EB7D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796B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2D4711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Пристрій автоматичного введення</w:t>
            </w:r>
          </w:p>
          <w:p w14:paraId="3B03854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резервного живлення [АВР] з схемою</w:t>
            </w:r>
          </w:p>
          <w:p w14:paraId="111BD8C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відновлення напруги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8B6D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пристрій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B40C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</w:t>
            </w:r>
          </w:p>
        </w:tc>
      </w:tr>
      <w:tr w:rsidR="0095054C" w:rsidRPr="0095054C" w14:paraId="540124CE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D3ED4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CBE1B4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Фазування електричної лінії або</w:t>
            </w:r>
          </w:p>
          <w:p w14:paraId="6429DDF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трансформатора з мережею, напруга понад</w:t>
            </w:r>
          </w:p>
          <w:p w14:paraId="353639A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 кВ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DC5F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фазув-ня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0142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18</w:t>
            </w:r>
          </w:p>
        </w:tc>
      </w:tr>
      <w:tr w:rsidR="0095054C" w:rsidRPr="0095054C" w14:paraId="25225EA9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EDE57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5C3E38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Елементи систем автоматичного управління</w:t>
            </w:r>
          </w:p>
          <w:p w14:paraId="26FC161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і регулювання.  Функціональна група</w:t>
            </w:r>
          </w:p>
          <w:p w14:paraId="2FE87A1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управління релейно-контакторна з</w:t>
            </w:r>
          </w:p>
          <w:p w14:paraId="049FFF3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загальним числом зовнішніх блокувальних</w:t>
            </w:r>
          </w:p>
          <w:p w14:paraId="090E084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зв'язків до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FF02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944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4F307611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CB45E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9C510AB" w14:textId="354AB244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Роздiл 2. Матеріали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D426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8E11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</w:tr>
      <w:tr w:rsidR="0095054C" w:rsidRPr="0095054C" w14:paraId="0CCDEFE2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AF3CD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169B46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Бокс металевий 1600х1000х300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AF14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7993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55F1B6CF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78723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457D76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Рубильник розривний ВР 400А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14A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952F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4440400D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FF09A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C1D3FD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Вимикач автоматичний EATON 250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7778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1F85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</w:t>
            </w:r>
          </w:p>
        </w:tc>
      </w:tr>
      <w:tr w:rsidR="0095054C" w:rsidRPr="0095054C" w14:paraId="642212C0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E5F98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09CD08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Вимикач автоматичний EATON 160 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F41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89B1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6B2A4989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62A5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62A259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Кабель АВВГ 4х185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6DA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F6D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0,055</w:t>
            </w:r>
          </w:p>
        </w:tc>
      </w:tr>
      <w:tr w:rsidR="0095054C" w:rsidRPr="0095054C" w14:paraId="338028C3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53F10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D8AFC9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Кабель АВВГ 4х95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9E8C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062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0,01</w:t>
            </w:r>
          </w:p>
        </w:tc>
      </w:tr>
      <w:tr w:rsidR="0095054C" w:rsidRPr="0095054C" w14:paraId="3264FDAC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A8A0D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AC8608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Проводи силові з полівінілхлоридною</w:t>
            </w:r>
          </w:p>
          <w:p w14:paraId="742BE19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ізоляцією з мідною жилою підвищеної</w:t>
            </w:r>
          </w:p>
          <w:p w14:paraId="527B952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гнучкості, марка ПВЗ, переріз 95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1E3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2C38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0,018</w:t>
            </w:r>
          </w:p>
        </w:tc>
      </w:tr>
      <w:tr w:rsidR="0095054C" w:rsidRPr="0095054C" w14:paraId="56827BD2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4764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73695D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Проводи силові з полівінілхлоридною</w:t>
            </w:r>
          </w:p>
          <w:p w14:paraId="341E2EB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ізоляцією з мідною жилою підвищеної</w:t>
            </w:r>
          </w:p>
          <w:p w14:paraId="04F320B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гнучкості, марка ПВЗ, переріз 2,5 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BA89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03A1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0,02</w:t>
            </w:r>
          </w:p>
        </w:tc>
      </w:tr>
      <w:tr w:rsidR="0095054C" w:rsidRPr="0095054C" w14:paraId="2F094461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508D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F1F4E2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Провід перерізом 5х1,5мм2 (ПВС)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28A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527E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0,02</w:t>
            </w:r>
          </w:p>
        </w:tc>
      </w:tr>
      <w:tr w:rsidR="0095054C" w:rsidRPr="0095054C" w14:paraId="45F36874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10732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253E40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Рубильник розривний РПС 400А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D7C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99A5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55860D62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FB0A6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FC4E55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Шина мідна 400А, 40х4мм2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725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1E90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2</w:t>
            </w:r>
          </w:p>
        </w:tc>
      </w:tr>
      <w:tr w:rsidR="0095054C" w:rsidRPr="0095054C" w14:paraId="554D884A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BC3FE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805696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Шина алюмінієва 400А, 50х5мм2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990C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4D008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347171D0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2605E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C9C73E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Наконечники алюмінієві для опресування</w:t>
            </w:r>
          </w:p>
          <w:p w14:paraId="2916FC5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ф185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9CB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921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0,3</w:t>
            </w:r>
          </w:p>
        </w:tc>
      </w:tr>
      <w:tr w:rsidR="0095054C" w:rsidRPr="0095054C" w14:paraId="5EE8A742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8180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6996EB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Наконечники алюмінієві ф95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485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C8C8B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0,1</w:t>
            </w:r>
          </w:p>
        </w:tc>
      </w:tr>
      <w:tr w:rsidR="0095054C" w:rsidRPr="0095054C" w14:paraId="2C4566F0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2773A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8CE9F0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Наконечники мідні ф95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686B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BBED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0,3</w:t>
            </w:r>
          </w:p>
        </w:tc>
      </w:tr>
      <w:tr w:rsidR="0095054C" w:rsidRPr="0095054C" w14:paraId="08082076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8AD82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F7EFBD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Оргскло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A24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277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1,6</w:t>
            </w:r>
          </w:p>
        </w:tc>
      </w:tr>
      <w:tr w:rsidR="0095054C" w:rsidRPr="0095054C" w14:paraId="3C9AC413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D202F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70688F1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Термоусадка клеюча ф30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05B7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D7B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0,3</w:t>
            </w:r>
          </w:p>
        </w:tc>
      </w:tr>
      <w:tr w:rsidR="0095054C" w:rsidRPr="0095054C" w14:paraId="3456BFC9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60EE03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ADA90F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Трансформатор струму Т-0,66 300/5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BC9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74D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3</w:t>
            </w:r>
          </w:p>
        </w:tc>
      </w:tr>
      <w:tr w:rsidR="0095054C" w:rsidRPr="0095054C" w14:paraId="733931C1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08428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C43568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Трифазний лічильник MT880-T1A32R46S43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8310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FC6C4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6BC0D1DC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6B02C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2027C6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Колодка під лічильник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AFD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1C8C9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  <w:tr w:rsidR="0095054C" w:rsidRPr="0095054C" w14:paraId="51E80A39" w14:textId="77777777" w:rsidTr="00950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3FD517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34913BA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Рубильник перекидний з сервоприводом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850F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B7D05" w14:textId="77777777" w:rsidR="0095054C" w:rsidRPr="0095054C" w:rsidRDefault="0095054C" w:rsidP="00D11F1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95054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1</w:t>
            </w:r>
          </w:p>
        </w:tc>
      </w:tr>
    </w:tbl>
    <w:p w14:paraId="71A0396F" w14:textId="77777777" w:rsidR="0095054C" w:rsidRDefault="0095054C" w:rsidP="00C95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4C4E3" w14:textId="77777777" w:rsidR="0095054C" w:rsidRDefault="0095054C" w:rsidP="00C95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571AE" w14:textId="77777777" w:rsidR="0095054C" w:rsidRDefault="0095054C" w:rsidP="00C95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FD292" w14:textId="77777777" w:rsidR="0095054C" w:rsidRDefault="0095054C" w:rsidP="00C95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40E2C" w14:textId="77777777" w:rsidR="0095054C" w:rsidRDefault="0095054C" w:rsidP="00C95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C37E8" w14:textId="77777777" w:rsidR="0095054C" w:rsidRDefault="0095054C" w:rsidP="00C95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0380D" w14:textId="3820217B" w:rsidR="00E85520" w:rsidRPr="00732695" w:rsidRDefault="00E85520" w:rsidP="00C95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95">
        <w:rPr>
          <w:rFonts w:ascii="Times New Roman" w:eastAsia="Times New Roman" w:hAnsi="Times New Roman" w:cs="Times New Roman"/>
          <w:sz w:val="24"/>
          <w:szCs w:val="24"/>
        </w:rPr>
        <w:t xml:space="preserve">Учасник повинен </w:t>
      </w:r>
      <w:r w:rsidR="00CA75E3">
        <w:rPr>
          <w:rFonts w:ascii="Times New Roman" w:eastAsia="Times New Roman" w:hAnsi="Times New Roman" w:cs="Times New Roman"/>
          <w:sz w:val="24"/>
          <w:szCs w:val="24"/>
        </w:rPr>
        <w:t>надати послуги</w:t>
      </w:r>
      <w:r w:rsidRPr="00732695">
        <w:rPr>
          <w:rFonts w:ascii="Times New Roman" w:eastAsia="Times New Roman" w:hAnsi="Times New Roman" w:cs="Times New Roman"/>
          <w:sz w:val="24"/>
          <w:szCs w:val="24"/>
        </w:rPr>
        <w:t>, якість яких відповідає умовам чинного законодавства, нормативно-технічним актам  з дотриманням вимог  санітарних норм  та охорони навколишнього середовища.</w:t>
      </w:r>
    </w:p>
    <w:p w14:paraId="2EB2FB6D" w14:textId="77777777" w:rsidR="00E85520" w:rsidRDefault="00E85520" w:rsidP="00E8552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36460FC" w14:textId="77777777" w:rsidR="00E85520" w:rsidRPr="00E85520" w:rsidRDefault="00E85520" w:rsidP="00E85520">
      <w:pPr>
        <w:spacing w:line="240" w:lineRule="auto"/>
        <w:ind w:firstLine="426"/>
        <w:jc w:val="both"/>
        <w:rPr>
          <w:rStyle w:val="rvts0"/>
          <w:i/>
          <w:sz w:val="26"/>
          <w:szCs w:val="26"/>
        </w:rPr>
      </w:pPr>
      <w:r w:rsidRPr="00E85520">
        <w:rPr>
          <w:rStyle w:val="rvts0"/>
          <w:i/>
          <w:sz w:val="26"/>
          <w:szCs w:val="26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5CE97BF6" w14:textId="77777777" w:rsidR="00E85520" w:rsidRPr="00E85520" w:rsidRDefault="00E85520" w:rsidP="00E8552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85520" w:rsidRPr="00E85520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D743" w14:textId="77777777" w:rsidR="00E564EA" w:rsidRDefault="00E564EA" w:rsidP="00E85520">
      <w:pPr>
        <w:spacing w:after="0" w:line="240" w:lineRule="auto"/>
      </w:pPr>
      <w:r>
        <w:separator/>
      </w:r>
    </w:p>
  </w:endnote>
  <w:endnote w:type="continuationSeparator" w:id="0">
    <w:p w14:paraId="745544A2" w14:textId="77777777" w:rsidR="00E564EA" w:rsidRDefault="00E564EA" w:rsidP="00E8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3538" w14:textId="77777777" w:rsidR="00E564EA" w:rsidRDefault="00E564EA" w:rsidP="00E85520">
      <w:pPr>
        <w:spacing w:after="0" w:line="240" w:lineRule="auto"/>
      </w:pPr>
      <w:r>
        <w:separator/>
      </w:r>
    </w:p>
  </w:footnote>
  <w:footnote w:type="continuationSeparator" w:id="0">
    <w:p w14:paraId="72570F43" w14:textId="77777777" w:rsidR="00E564EA" w:rsidRDefault="00E564EA" w:rsidP="00E8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6BE4" w14:textId="77777777" w:rsidR="002B5A65" w:rsidRDefault="002B5A65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FF8E" w14:textId="77777777" w:rsidR="002B5A65" w:rsidRPr="00E85520" w:rsidRDefault="002B5A65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  <w:r>
      <w:rPr>
        <w:rFonts w:ascii="Arial" w:hAnsi="Arial" w:cs="Arial"/>
        <w:sz w:val="16"/>
        <w:szCs w:val="16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29EC"/>
    <w:multiLevelType w:val="hybridMultilevel"/>
    <w:tmpl w:val="E6BC5B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42FE2"/>
    <w:multiLevelType w:val="hybridMultilevel"/>
    <w:tmpl w:val="E6BC5B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E32B6"/>
    <w:multiLevelType w:val="hybridMultilevel"/>
    <w:tmpl w:val="98963384"/>
    <w:lvl w:ilvl="0" w:tplc="AC548570">
      <w:numFmt w:val="bullet"/>
      <w:lvlText w:val="-"/>
      <w:lvlJc w:val="left"/>
      <w:pPr>
        <w:ind w:left="111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 w16cid:durableId="1612007826">
    <w:abstractNumId w:val="0"/>
  </w:num>
  <w:num w:numId="2" w16cid:durableId="335960412">
    <w:abstractNumId w:val="1"/>
  </w:num>
  <w:num w:numId="3" w16cid:durableId="211197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949"/>
    <w:rsid w:val="000127C3"/>
    <w:rsid w:val="00052623"/>
    <w:rsid w:val="00052D00"/>
    <w:rsid w:val="00060B9A"/>
    <w:rsid w:val="00062C64"/>
    <w:rsid w:val="000B52AA"/>
    <w:rsid w:val="00100FD0"/>
    <w:rsid w:val="00114AB0"/>
    <w:rsid w:val="00147B28"/>
    <w:rsid w:val="002A181E"/>
    <w:rsid w:val="002B2975"/>
    <w:rsid w:val="002B5A65"/>
    <w:rsid w:val="002C3238"/>
    <w:rsid w:val="002C5603"/>
    <w:rsid w:val="002D63B7"/>
    <w:rsid w:val="002D78BB"/>
    <w:rsid w:val="002D7D19"/>
    <w:rsid w:val="00345827"/>
    <w:rsid w:val="0035417C"/>
    <w:rsid w:val="003D5040"/>
    <w:rsid w:val="003E5AA2"/>
    <w:rsid w:val="00484163"/>
    <w:rsid w:val="00492A01"/>
    <w:rsid w:val="004A77DA"/>
    <w:rsid w:val="004B280D"/>
    <w:rsid w:val="004C74AE"/>
    <w:rsid w:val="004E57EB"/>
    <w:rsid w:val="0054315E"/>
    <w:rsid w:val="005452EF"/>
    <w:rsid w:val="0064258F"/>
    <w:rsid w:val="00643445"/>
    <w:rsid w:val="00677FCA"/>
    <w:rsid w:val="006B6D46"/>
    <w:rsid w:val="006F33D0"/>
    <w:rsid w:val="00722D3B"/>
    <w:rsid w:val="00732695"/>
    <w:rsid w:val="00771472"/>
    <w:rsid w:val="00786137"/>
    <w:rsid w:val="007B5F3A"/>
    <w:rsid w:val="007E3795"/>
    <w:rsid w:val="007F5EEA"/>
    <w:rsid w:val="00853C65"/>
    <w:rsid w:val="008D00E3"/>
    <w:rsid w:val="009101B4"/>
    <w:rsid w:val="0091210E"/>
    <w:rsid w:val="0095054C"/>
    <w:rsid w:val="009523E6"/>
    <w:rsid w:val="009707E6"/>
    <w:rsid w:val="00987CB2"/>
    <w:rsid w:val="00A53A1A"/>
    <w:rsid w:val="00A66D15"/>
    <w:rsid w:val="00A76B41"/>
    <w:rsid w:val="00AC6BC2"/>
    <w:rsid w:val="00B446FE"/>
    <w:rsid w:val="00B62C1D"/>
    <w:rsid w:val="00B70759"/>
    <w:rsid w:val="00BC53A1"/>
    <w:rsid w:val="00C11E66"/>
    <w:rsid w:val="00C154B5"/>
    <w:rsid w:val="00C46A83"/>
    <w:rsid w:val="00C55C0B"/>
    <w:rsid w:val="00C82B84"/>
    <w:rsid w:val="00C950DB"/>
    <w:rsid w:val="00CA75E3"/>
    <w:rsid w:val="00CB7D7F"/>
    <w:rsid w:val="00CE1648"/>
    <w:rsid w:val="00D23F84"/>
    <w:rsid w:val="00D971BA"/>
    <w:rsid w:val="00DC0DC2"/>
    <w:rsid w:val="00DD6394"/>
    <w:rsid w:val="00DE6575"/>
    <w:rsid w:val="00E03311"/>
    <w:rsid w:val="00E1198A"/>
    <w:rsid w:val="00E564EA"/>
    <w:rsid w:val="00E5660B"/>
    <w:rsid w:val="00E57833"/>
    <w:rsid w:val="00E65D66"/>
    <w:rsid w:val="00E72569"/>
    <w:rsid w:val="00E85520"/>
    <w:rsid w:val="00EA2364"/>
    <w:rsid w:val="00EA35D9"/>
    <w:rsid w:val="00EB1447"/>
    <w:rsid w:val="00ED700A"/>
    <w:rsid w:val="00F01728"/>
    <w:rsid w:val="00F16E0A"/>
    <w:rsid w:val="00F268CB"/>
    <w:rsid w:val="00F31FBB"/>
    <w:rsid w:val="00F41949"/>
    <w:rsid w:val="00F513B6"/>
    <w:rsid w:val="00F559B9"/>
    <w:rsid w:val="00F668C7"/>
    <w:rsid w:val="00F67B84"/>
    <w:rsid w:val="00F85966"/>
    <w:rsid w:val="00FA6F0A"/>
    <w:rsid w:val="00FD6681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4EDB"/>
  <w15:docId w15:val="{CF3B9276-F785-45A8-9974-BBCCF41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85520"/>
  </w:style>
  <w:style w:type="paragraph" w:styleId="a5">
    <w:name w:val="footer"/>
    <w:basedOn w:val="a"/>
    <w:link w:val="a6"/>
    <w:uiPriority w:val="99"/>
    <w:unhideWhenUsed/>
    <w:rsid w:val="00E855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85520"/>
  </w:style>
  <w:style w:type="character" w:customStyle="1" w:styleId="rvts0">
    <w:name w:val="rvts0"/>
    <w:basedOn w:val="a0"/>
    <w:rsid w:val="00E85520"/>
    <w:rPr>
      <w:rFonts w:ascii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513B6"/>
  </w:style>
  <w:style w:type="table" w:styleId="a7">
    <w:name w:val="Table Grid"/>
    <w:basedOn w:val="a1"/>
    <w:uiPriority w:val="59"/>
    <w:rsid w:val="00F5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B7D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1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4527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Ivan Fedan</cp:lastModifiedBy>
  <cp:revision>47</cp:revision>
  <cp:lastPrinted>2023-08-28T09:48:00Z</cp:lastPrinted>
  <dcterms:created xsi:type="dcterms:W3CDTF">2023-06-30T07:55:00Z</dcterms:created>
  <dcterms:modified xsi:type="dcterms:W3CDTF">2023-11-29T15:34:00Z</dcterms:modified>
</cp:coreProperties>
</file>