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</w:t>
      </w:r>
    </w:p>
    <w:p>
      <w:pPr>
        <w:pStyle w:val="Normal"/>
        <w:jc w:val="center"/>
        <w:textAlignment w:val="top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tbl>
      <w:tblPr>
        <w:tblW w:w="9936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138"/>
        <w:gridCol w:w="5797"/>
      </w:tblGrid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3600" w:leader="none"/>
              </w:tabs>
              <w:jc w:val="both"/>
              <w:rPr>
                <w:b/>
                <w:b/>
              </w:rPr>
            </w:pPr>
            <w:r>
              <w:rPr>
                <w:b/>
                <w:bCs/>
                <w:color w:val="000000"/>
                <w:shd w:fill="FFFFFF" w:val="clear"/>
              </w:rPr>
              <w:t xml:space="preserve">Комунальне некомерційне підприємство </w:t>
            </w:r>
            <w:r>
              <w:rPr>
                <w:b/>
                <w:bCs/>
                <w:color w:val="000000"/>
              </w:rPr>
              <w:t>«Ярмолинецька багатопрофільна  лікарня» Ярмолинецької селищної ради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160" w:leader="none"/>
                <w:tab w:val="left" w:pos="3600" w:leader="none"/>
              </w:tabs>
              <w:jc w:val="both"/>
              <w:rPr/>
            </w:pPr>
            <w:r>
              <w:rPr>
                <w:b/>
              </w:rPr>
              <w:t xml:space="preserve">Україна, </w:t>
            </w:r>
            <w:r>
              <w:rPr>
                <w:b/>
              </w:rPr>
              <w:t>32100 Хмельницька обл. Смт Ярмолинці вул. Шевченка 41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0</w:t>
            </w:r>
            <w:r>
              <w:rPr>
                <w:b/>
              </w:rPr>
              <w:t>2004574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Rvps2"/>
              <w:shd w:val="clear" w:color="auto" w:fill="FFFFFF"/>
              <w:spacing w:beforeAutospacing="0" w:before="0" w:afterAutospacing="0" w:after="0"/>
              <w:jc w:val="both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fill="FFFFFF" w:val="clear"/>
                <w:lang w:val="uk-UA"/>
              </w:rPr>
              <w:t>.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auto" w:line="264"/>
              <w:ind w:right="142" w:hanging="0"/>
              <w:jc w:val="both"/>
              <w:rPr>
                <w:bCs/>
                <w:color w:val="auto"/>
                <w:lang w:val="uk-UA"/>
              </w:rPr>
            </w:pPr>
            <w:bookmarkStart w:id="0" w:name="_Hlk63846954"/>
            <w:r>
              <w:rPr>
                <w:b/>
                <w:lang w:val="uk-UA"/>
              </w:rPr>
              <w:t>«код ДК 02</w:t>
            </w:r>
            <w:r>
              <w:rPr>
                <w:b/>
                <w:color w:val="auto"/>
                <w:lang w:val="uk-UA"/>
              </w:rPr>
              <w:t>1:2015 33600000-6 «Фармацевтична продукція» «(</w:t>
            </w:r>
            <w:r>
              <w:rPr>
                <w:color w:val="auto"/>
                <w:lang w:val="en-US"/>
              </w:rPr>
              <w:t>Atropine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Ammonia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Amikacin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Amoxicillin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and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beta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  <w:lang w:val="en-US"/>
              </w:rPr>
              <w:t>lactamase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inhibitor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Epinephrine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Azithromycin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Chlorpromazine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Amiodarone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Acetylsalicylic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acid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Aqua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pro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injectioni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Glyceryl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en-US"/>
              </w:rPr>
              <w:t>trinitrate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Heparin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Hydrocortisone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Dopamine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Dexamethasone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Diclofenac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Enalapril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Carbamazepine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Chloramphenicol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Loperamide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Levofloxacin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Loratadine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Drotaverine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Neostigmine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Pyrantel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Salbutamol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Furosemide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Paracetamol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Ibuprofen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Insulin</w:t>
            </w:r>
            <w:r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en-US"/>
              </w:rPr>
              <w:t>human</w:t>
            </w:r>
            <w:r>
              <w:rPr>
                <w:color w:val="auto"/>
                <w:lang w:val="uk-UA"/>
              </w:rPr>
              <w:t xml:space="preserve">); </w:t>
            </w:r>
            <w:r>
              <w:rPr>
                <w:color w:val="auto"/>
                <w:lang w:val="en-US"/>
              </w:rPr>
              <w:t>Xylometazoline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Nifedipine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Enoxaparin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Chlorhexidine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Budesonide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Ceftazidime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Cefotaxime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Ceftriaxone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Cefepime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Lidocaine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Bupivacaine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Ethanol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Iodine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Phenylephrine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Metoclopramide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Metoprolol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Nifuroxazide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Pantoprazole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Glucose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Oxytocin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Electrolytes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Ciprofloxacin</w:t>
            </w:r>
            <w:r>
              <w:rPr>
                <w:color w:val="auto"/>
                <w:lang w:val="uk-UA"/>
              </w:rPr>
              <w:t xml:space="preserve">; </w:t>
            </w:r>
            <w:r>
              <w:rPr>
                <w:color w:val="auto"/>
                <w:lang w:val="en-US"/>
              </w:rPr>
              <w:t>Tetracycline</w:t>
            </w:r>
            <w:r>
              <w:rPr>
                <w:color w:val="auto"/>
                <w:lang w:val="uk-UA"/>
              </w:rPr>
              <w:t>;</w:t>
            </w:r>
            <w:r>
              <w:rPr>
                <w:color w:val="auto"/>
                <w:lang w:val="en-US"/>
              </w:rPr>
              <w:t>Ciprofloxacin</w:t>
            </w:r>
            <w:r>
              <w:rPr>
                <w:b/>
                <w:lang w:val="uk-UA"/>
              </w:rPr>
              <w:t>)».</w:t>
            </w:r>
            <w:bookmarkEnd w:id="0"/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Times New Roman"/>
                <w:b/>
                <w:b/>
                <w:bCs/>
                <w:lang w:eastAsia="ru-RU"/>
              </w:rPr>
            </w:pPr>
            <w:r>
              <w:rPr>
                <w:b/>
              </w:rPr>
              <w:t>кількість та обсяг товару зазначені у Додатку 2 до тендерної документації.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both"/>
              <w:rPr/>
            </w:pPr>
            <w:r>
              <w:rPr>
                <w:b/>
              </w:rPr>
              <w:t>Україна, 32100, Хмельницька область, смт. Ярмолинці, вул. Шевченка, 41</w:t>
            </w:r>
          </w:p>
        </w:tc>
      </w:tr>
      <w:tr>
        <w:trPr>
          <w:trHeight w:val="1119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Rvps2"/>
              <w:shd w:val="clear" w:color="auto" w:fill="FFFFFF"/>
              <w:spacing w:lineRule="auto" w:line="288" w:beforeAutospacing="0" w:before="0" w:afterAutospacing="0" w:after="0"/>
              <w:jc w:val="both"/>
              <w:textAlignment w:val="baseline"/>
              <w:rPr>
                <w:b/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305 000.00 (триста п’ять тисяч гривень 00 копійок) з ПДВ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Style w:val="Strong"/>
                <w:rFonts w:eastAsia="Times New Roman"/>
              </w:rPr>
            </w:pPr>
            <w:r>
              <w:rPr>
                <w:rFonts w:eastAsia="Times New Roman"/>
                <w:b/>
                <w:lang w:eastAsia="ru-RU"/>
              </w:rPr>
              <w:t>до 31.12.2022 року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«17» червня 2022 року до 18:00 год.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післяоплата; </w:t>
            </w:r>
          </w:p>
          <w:p>
            <w:pPr>
              <w:pStyle w:val="Normal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30 календарних днів; </w:t>
            </w:r>
          </w:p>
          <w:p>
            <w:pPr>
              <w:pStyle w:val="Normal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>
            <w:pPr>
              <w:pStyle w:val="Normal"/>
              <w:jc w:val="both"/>
              <w:textAlignment w:val="top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Примітка: Розрахунки за Договором проводяться на підставі накладних шляхом перерахування грошових коштів на розрахунковий рахунок Постачальника.</w:t>
            </w:r>
          </w:p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>
                <w:rFonts w:eastAsia="Times New Roman"/>
                <w:b/>
                <w:bCs/>
              </w:rPr>
              <w:t>Розрахунки проводяться протягом 30 календарних днів з моменту отримання товару.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>Забезпечення тендерної пропозиції не вимагається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rPr/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rPr/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0,5 %</w:t>
            </w:r>
          </w:p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/>
            </w:r>
          </w:p>
        </w:tc>
      </w:tr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textAlignment w:val="top"/>
              <w:rPr>
                <w:rStyle w:val="Strong"/>
              </w:rPr>
            </w:pPr>
            <w:r>
              <w:rPr>
                <w:rStyle w:val="Strong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sz w:val="10"/>
          <w:szCs w:val="10"/>
        </w:rPr>
      </w:pPr>
      <w:r>
        <w:rPr>
          <w:rFonts w:eastAsia="Times New Roman"/>
          <w:sz w:val="10"/>
          <w:szCs w:val="10"/>
        </w:rPr>
      </w:r>
    </w:p>
    <w:p>
      <w:pPr>
        <w:pStyle w:val="Normal"/>
        <w:textAlignment w:val="top"/>
        <w:rPr>
          <w:rFonts w:eastAsia="Times New Roman"/>
          <w:bCs/>
          <w:sz w:val="10"/>
          <w:szCs w:val="10"/>
        </w:rPr>
      </w:pPr>
      <w:r>
        <w:rPr>
          <w:rFonts w:eastAsia="Times New Roman"/>
          <w:bCs/>
          <w:sz w:val="10"/>
          <w:szCs w:val="10"/>
        </w:rPr>
      </w:r>
    </w:p>
    <w:p>
      <w:pPr>
        <w:pStyle w:val="Normal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"/>
        <w:rPr>
          <w:rFonts w:eastAsia="Times New Roman"/>
          <w:bCs/>
        </w:rPr>
      </w:pPr>
      <w:r>
        <w:rPr>
          <w:rFonts w:eastAsia="Times New Roman"/>
          <w:bCs/>
        </w:rPr>
      </w:r>
    </w:p>
    <w:p>
      <w:pPr>
        <w:pStyle w:val="Normal"/>
        <w:rPr>
          <w:rFonts w:eastAsia="Times New Roman"/>
          <w:bCs/>
        </w:rPr>
      </w:pPr>
      <w:r>
        <w:rPr>
          <w:rFonts w:eastAsia="Times New Roman"/>
          <w:bCs/>
        </w:rPr>
      </w:r>
    </w:p>
    <w:tbl>
      <w:tblPr>
        <w:tblW w:w="100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3"/>
        <w:gridCol w:w="3285"/>
        <w:gridCol w:w="3090"/>
      </w:tblGrid>
      <w:tr>
        <w:trPr>
          <w:trHeight w:val="131" w:hRule="atLeast"/>
        </w:trPr>
        <w:tc>
          <w:tcPr>
            <w:tcW w:w="366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ind w:firstLine="3"/>
              <w:jc w:val="center"/>
              <w:rPr/>
            </w:pPr>
            <w:r>
              <w:rPr>
                <w:b/>
              </w:rPr>
              <w:t>Уповноважена особа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rFonts w:eastAsia="Arial"/>
                <w:b/>
              </w:rPr>
              <w:t>Комунального некомерційного підприємства «</w:t>
            </w:r>
            <w:r>
              <w:rPr>
                <w:b/>
                <w:bCs/>
                <w:color w:val="000000"/>
              </w:rPr>
              <w:t>Ярмолинецька багатопрофільна  лікарня» Ярмолинецької селищної ради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hd w:val="clear" w:color="auto" w:fill="FFFFFF"/>
              <w:ind w:firstLine="3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jc w:val="center"/>
              <w:rPr/>
            </w:pPr>
            <w:r>
              <w:rPr/>
              <w:t>________________</w:t>
            </w:r>
          </w:p>
        </w:tc>
        <w:tc>
          <w:tcPr>
            <w:tcW w:w="309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440" w:leader="none"/>
              </w:tabs>
              <w:rPr/>
            </w:pPr>
            <w:r>
              <w:rPr>
                <w:b/>
                <w:bCs/>
                <w:spacing w:val="1"/>
              </w:rPr>
              <w:t>А.О. Слободян</w:t>
            </w:r>
          </w:p>
        </w:tc>
      </w:tr>
    </w:tbl>
    <w:p>
      <w:pPr>
        <w:pStyle w:val="Rvps2"/>
        <w:shd w:val="clear" w:color="auto" w:fill="FFFFFF"/>
        <w:spacing w:lineRule="auto" w:line="288" w:beforeAutospacing="0" w:before="0" w:afterAutospacing="0" w:after="0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850" w:header="708" w:top="76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ug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24d"/>
    <w:pPr>
      <w:widowControl/>
      <w:bidi w:val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2"/>
    <w:next w:val="Normal"/>
    <w:link w:val="10"/>
    <w:autoRedefine/>
    <w:uiPriority w:val="9"/>
    <w:qFormat/>
    <w:rsid w:val="0022430b"/>
    <w:pPr>
      <w:keepNext w:val="true"/>
      <w:spacing w:beforeAutospacing="0"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Normal"/>
    <w:link w:val="20"/>
    <w:uiPriority w:val="9"/>
    <w:qFormat/>
    <w:rsid w:val="0082124d"/>
    <w:pPr>
      <w:spacing w:beforeAutospacing="1" w:after="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2124d"/>
    <w:rPr>
      <w:rFonts w:ascii="Calibri Light" w:hAnsi="Calibri Light" w:eastAsia="" w:cs="Microsoft Uighur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2124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2430b"/>
    <w:rPr>
      <w:b/>
      <w:bCs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3e1630"/>
    <w:rPr>
      <w:rFonts w:eastAsia="" w:eastAsiaTheme="minorEastAsia"/>
      <w:sz w:val="24"/>
      <w:szCs w:val="24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e06f47"/>
    <w:rPr>
      <w:rFonts w:ascii="Segoe UI" w:hAnsi="Segoe UI" w:eastAsia="" w:cs="Segoe UI" w:eastAsiaTheme="minorEastAsia"/>
      <w:sz w:val="18"/>
      <w:szCs w:val="18"/>
    </w:rPr>
  </w:style>
  <w:style w:type="character" w:styleId="Style15">
    <w:name w:val="Гіперпосилання"/>
    <w:uiPriority w:val="99"/>
    <w:unhideWhenUsed/>
    <w:rsid w:val="00cb73b3"/>
    <w:rPr>
      <w:color w:val="0000FF"/>
      <w:u w:val="single"/>
    </w:rPr>
  </w:style>
  <w:style w:type="character" w:styleId="Style16" w:customStyle="1">
    <w:name w:val="Обычный (веб) Знак"/>
    <w:link w:val="ab"/>
    <w:qFormat/>
    <w:locked/>
    <w:rsid w:val="00101e0b"/>
    <w:rPr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82124d"/>
    <w:pPr>
      <w:spacing w:beforeAutospacing="1" w:afterAutospacing="1"/>
    </w:pPr>
    <w:rPr/>
  </w:style>
  <w:style w:type="paragraph" w:styleId="Small" w:customStyle="1">
    <w:name w:val="small"/>
    <w:basedOn w:val="Normal"/>
    <w:qFormat/>
    <w:rsid w:val="0082124d"/>
    <w:pPr>
      <w:spacing w:beforeAutospacing="1" w:afterAutospacing="1"/>
    </w:pPr>
    <w:rPr>
      <w:sz w:val="18"/>
      <w:szCs w:val="18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3e163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e06f47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ac"/>
    <w:qFormat/>
    <w:rsid w:val="00101e0b"/>
    <w:pPr>
      <w:suppressAutoHyphens w:val="true"/>
      <w:spacing w:before="280" w:after="280"/>
    </w:pPr>
    <w:rPr>
      <w:rFonts w:eastAsia="Times New Roman"/>
      <w:lang w:eastAsia="zh-CN"/>
    </w:rPr>
  </w:style>
  <w:style w:type="paragraph" w:styleId="Rvps2" w:customStyle="1">
    <w:name w:val="rvps2"/>
    <w:basedOn w:val="Normal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styleId="Default" w:customStyle="1">
    <w:name w:val="Default"/>
    <w:qFormat/>
    <w:rsid w:val="002f6ed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BB32-3F71-4F1E-AF9E-054CA004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2</Pages>
  <Words>398</Words>
  <Characters>2938</Characters>
  <CharactersWithSpaces>3306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2020-12-24T13:05:00Z</dcterms:created>
  <dc:creator/>
  <dc:description/>
  <dc:language>uk-UA</dc:language>
  <cp:lastModifiedBy/>
  <dcterms:modified xsi:type="dcterms:W3CDTF">2022-06-01T12:55:22Z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