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700863" w:rsidRPr="002C1558">
        <w:rPr>
          <w:rFonts w:ascii="Times New Roman" w:hAnsi="Times New Roman"/>
          <w:b/>
          <w:bCs/>
        </w:rPr>
        <w:t xml:space="preserve">15510000-6 - Молоко та вершки </w:t>
      </w:r>
      <w:r w:rsidR="00700863">
        <w:rPr>
          <w:rFonts w:ascii="Times New Roman" w:hAnsi="Times New Roman"/>
          <w:b/>
          <w:bCs/>
        </w:rPr>
        <w:t>(</w:t>
      </w:r>
      <w:r w:rsidR="00700863">
        <w:rPr>
          <w:rFonts w:ascii="Times New Roman" w:hAnsi="Times New Roman"/>
          <w:b/>
          <w:bCs/>
          <w:lang w:val="uk-UA"/>
        </w:rPr>
        <w:t>М</w:t>
      </w:r>
      <w:proofErr w:type="spellStart"/>
      <w:r w:rsidR="00700863" w:rsidRPr="002C1558">
        <w:rPr>
          <w:rFonts w:ascii="Times New Roman" w:hAnsi="Times New Roman"/>
          <w:b/>
          <w:bCs/>
        </w:rPr>
        <w:t>олоко</w:t>
      </w:r>
      <w:proofErr w:type="spellEnd"/>
      <w:r w:rsidR="00700863" w:rsidRPr="002C1558">
        <w:rPr>
          <w:rFonts w:ascii="Times New Roman" w:hAnsi="Times New Roman"/>
          <w:b/>
          <w:bCs/>
        </w:rPr>
        <w:t xml:space="preserve"> </w:t>
      </w:r>
      <w:r w:rsidR="00700863">
        <w:rPr>
          <w:rFonts w:ascii="Times New Roman" w:hAnsi="Times New Roman"/>
          <w:b/>
          <w:bCs/>
          <w:lang w:val="uk-UA"/>
        </w:rPr>
        <w:t xml:space="preserve">коров’яче, </w:t>
      </w:r>
      <w:proofErr w:type="spellStart"/>
      <w:r w:rsidR="00700863">
        <w:rPr>
          <w:rFonts w:ascii="Times New Roman" w:hAnsi="Times New Roman"/>
          <w:b/>
          <w:bCs/>
        </w:rPr>
        <w:t>пастеризоване</w:t>
      </w:r>
      <w:proofErr w:type="spellEnd"/>
      <w:r w:rsidR="00700863">
        <w:rPr>
          <w:rFonts w:ascii="Times New Roman" w:hAnsi="Times New Roman"/>
          <w:b/>
          <w:bCs/>
        </w:rPr>
        <w:t xml:space="preserve">, </w:t>
      </w:r>
      <w:r w:rsidR="00714FEC">
        <w:rPr>
          <w:rFonts w:ascii="Times New Roman" w:hAnsi="Times New Roman"/>
          <w:b/>
          <w:bCs/>
          <w:lang w:val="uk-UA"/>
        </w:rPr>
        <w:t xml:space="preserve">ДСТУ 2661, </w:t>
      </w:r>
      <w:r w:rsidR="00C62F78" w:rsidRPr="00C62F78">
        <w:rPr>
          <w:rFonts w:ascii="Times New Roman" w:hAnsi="Times New Roman"/>
          <w:b/>
          <w:lang w:val="uk-UA"/>
        </w:rPr>
        <w:t>1 кг)</w:t>
      </w:r>
      <w:r w:rsidR="008A444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802BE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цим</w:t>
      </w:r>
      <w:proofErr w:type="spellEnd"/>
      <w:r w:rsidR="008A3D8F" w:rsidRPr="007F28FE">
        <w:rPr>
          <w:rFonts w:ascii="Times New Roman" w:hAnsi="Times New Roman" w:cs="Times New Roman"/>
          <w:lang w:eastAsia="ar-SA"/>
        </w:rPr>
        <w:t xml:space="preserve"> Договором, а </w:t>
      </w:r>
      <w:proofErr w:type="spellStart"/>
      <w:r w:rsidR="008A3D8F" w:rsidRPr="007F28FE">
        <w:rPr>
          <w:rFonts w:ascii="Times New Roman" w:hAnsi="Times New Roman" w:cs="Times New Roman"/>
          <w:lang w:eastAsia="ar-SA"/>
        </w:rPr>
        <w:t>Споживач</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зобов`язується</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прийняти</w:t>
      </w:r>
      <w:proofErr w:type="spellEnd"/>
      <w:r w:rsidR="008A3D8F" w:rsidRPr="007F28FE">
        <w:rPr>
          <w:rFonts w:ascii="Times New Roman" w:hAnsi="Times New Roman" w:cs="Times New Roman"/>
          <w:lang w:eastAsia="ar-SA"/>
        </w:rPr>
        <w:t xml:space="preserve"> та </w:t>
      </w:r>
      <w:proofErr w:type="spellStart"/>
      <w:r w:rsidR="008A3D8F" w:rsidRPr="007F28FE">
        <w:rPr>
          <w:rFonts w:ascii="Times New Roman" w:hAnsi="Times New Roman" w:cs="Times New Roman"/>
          <w:lang w:eastAsia="ar-SA"/>
        </w:rPr>
        <w:t>оплатити</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Постачальнику</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його</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вартість</w:t>
      </w:r>
      <w:proofErr w:type="spellEnd"/>
      <w:r w:rsidR="008A3D8F" w:rsidRPr="007F28FE">
        <w:rPr>
          <w:rFonts w:ascii="Times New Roman" w:hAnsi="Times New Roman" w:cs="Times New Roman"/>
          <w:lang w:eastAsia="ar-SA"/>
        </w:rPr>
        <w:t xml:space="preserve"> у </w:t>
      </w:r>
      <w:proofErr w:type="spellStart"/>
      <w:r w:rsidR="008A3D8F" w:rsidRPr="007F28FE">
        <w:rPr>
          <w:rFonts w:ascii="Times New Roman" w:hAnsi="Times New Roman" w:cs="Times New Roman"/>
          <w:lang w:eastAsia="ar-SA"/>
        </w:rPr>
        <w:t>розмірах</w:t>
      </w:r>
      <w:proofErr w:type="spellEnd"/>
      <w:r w:rsidR="008A3D8F" w:rsidRPr="007F28FE">
        <w:rPr>
          <w:rFonts w:ascii="Times New Roman" w:hAnsi="Times New Roman" w:cs="Times New Roman"/>
          <w:lang w:eastAsia="ar-SA"/>
        </w:rPr>
        <w:t xml:space="preserve">, строках, порядку та на </w:t>
      </w:r>
      <w:proofErr w:type="spellStart"/>
      <w:r w:rsidR="008A3D8F" w:rsidRPr="007F28FE">
        <w:rPr>
          <w:rFonts w:ascii="Times New Roman" w:hAnsi="Times New Roman" w:cs="Times New Roman"/>
          <w:lang w:eastAsia="ar-SA"/>
        </w:rPr>
        <w:t>умовах</w:t>
      </w:r>
      <w:proofErr w:type="spellEnd"/>
      <w:r w:rsidR="008A3D8F" w:rsidRPr="007F28FE">
        <w:rPr>
          <w:rFonts w:ascii="Times New Roman" w:hAnsi="Times New Roman" w:cs="Times New Roman"/>
          <w:lang w:eastAsia="ar-SA"/>
        </w:rPr>
        <w:t xml:space="preserve">, </w:t>
      </w:r>
      <w:proofErr w:type="spellStart"/>
      <w:r w:rsidR="008A3D8F" w:rsidRPr="007F28FE">
        <w:rPr>
          <w:rFonts w:ascii="Times New Roman" w:hAnsi="Times New Roman" w:cs="Times New Roman"/>
          <w:lang w:eastAsia="ar-SA"/>
        </w:rPr>
        <w:t>передбачених</w:t>
      </w:r>
      <w:proofErr w:type="spellEnd"/>
      <w:r w:rsidR="00700863">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даним</w:t>
      </w:r>
      <w:proofErr w:type="spellEnd"/>
      <w:r w:rsidR="008A3D8F" w:rsidRPr="007F28FE">
        <w:rPr>
          <w:rFonts w:ascii="Times New Roman" w:hAnsi="Times New Roman" w:cs="Times New Roman"/>
          <w:lang w:eastAsia="ar-SA"/>
        </w:rPr>
        <w:t xml:space="preserve">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 xml:space="preserve">Закону України «Про основні принципи та вимоги до </w:t>
      </w:r>
      <w:r w:rsidRPr="007F28FE">
        <w:rPr>
          <w:rFonts w:ascii="Times New Roman" w:hAnsi="Times New Roman" w:cs="Times New Roman"/>
          <w:sz w:val="24"/>
          <w:szCs w:val="24"/>
        </w:rPr>
        <w:lastRenderedPageBreak/>
        <w:t>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lastRenderedPageBreak/>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lastRenderedPageBreak/>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9549C1"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A4447" w:rsidRPr="00700863" w:rsidRDefault="00700863" w:rsidP="00C62F78">
            <w:pPr>
              <w:spacing w:after="0" w:line="240" w:lineRule="auto"/>
              <w:rPr>
                <w:rFonts w:ascii="Times New Roman" w:hAnsi="Times New Roman" w:cs="Times New Roman"/>
              </w:rPr>
            </w:pPr>
            <w:r w:rsidRPr="00700863">
              <w:rPr>
                <w:rFonts w:ascii="Times New Roman" w:hAnsi="Times New Roman"/>
                <w:bCs/>
              </w:rPr>
              <w:t>М</w:t>
            </w:r>
            <w:r w:rsidRPr="00700863">
              <w:rPr>
                <w:rFonts w:ascii="Times New Roman" w:hAnsi="Times New Roman"/>
                <w:bCs/>
                <w:sz w:val="24"/>
                <w:szCs w:val="24"/>
                <w:lang w:eastAsia="ru-RU"/>
              </w:rPr>
              <w:t xml:space="preserve">олоко </w:t>
            </w:r>
            <w:r w:rsidRPr="00700863">
              <w:rPr>
                <w:rFonts w:ascii="Times New Roman" w:hAnsi="Times New Roman"/>
                <w:bCs/>
              </w:rPr>
              <w:t xml:space="preserve">коров’яче, пастеризоване, </w:t>
            </w:r>
            <w:bookmarkStart w:id="0" w:name="_GoBack"/>
            <w:r w:rsidR="00714FEC">
              <w:rPr>
                <w:rFonts w:ascii="Times New Roman" w:hAnsi="Times New Roman"/>
                <w:bCs/>
              </w:rPr>
              <w:t>ДСТУ 2661</w:t>
            </w:r>
            <w:bookmarkEnd w:id="0"/>
            <w:r w:rsidR="00714FEC">
              <w:rPr>
                <w:rFonts w:ascii="Times New Roman" w:hAnsi="Times New Roman"/>
                <w:bCs/>
              </w:rPr>
              <w:t xml:space="preserve">, </w:t>
            </w:r>
            <w:r w:rsidRPr="00700863">
              <w:rPr>
                <w:rFonts w:ascii="Times New Roman" w:hAnsi="Times New Roman"/>
              </w:rPr>
              <w:t>1 кг</w:t>
            </w:r>
          </w:p>
        </w:tc>
        <w:tc>
          <w:tcPr>
            <w:tcW w:w="704" w:type="pct"/>
            <w:shd w:val="clear" w:color="auto" w:fill="auto"/>
            <w:vAlign w:val="center"/>
          </w:tcPr>
          <w:p w:rsidR="008A4447" w:rsidRPr="007A5BBE" w:rsidRDefault="00C62F78" w:rsidP="00700863">
            <w:pPr>
              <w:spacing w:after="0" w:line="240" w:lineRule="auto"/>
              <w:ind w:right="-43"/>
              <w:jc w:val="center"/>
              <w:rPr>
                <w:rFonts w:ascii="Times New Roman" w:hAnsi="Times New Roman"/>
                <w:szCs w:val="16"/>
              </w:rPr>
            </w:pPr>
            <w:r>
              <w:rPr>
                <w:rFonts w:ascii="Times New Roman" w:hAnsi="Times New Roman"/>
                <w:szCs w:val="16"/>
              </w:rPr>
              <w:t>155</w:t>
            </w:r>
            <w:r w:rsidR="00700863">
              <w:rPr>
                <w:rFonts w:ascii="Times New Roman" w:hAnsi="Times New Roman"/>
                <w:szCs w:val="16"/>
              </w:rPr>
              <w:t>10000-6</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700863" w:rsidP="00632F88">
            <w:pPr>
              <w:spacing w:after="0" w:line="240" w:lineRule="auto"/>
              <w:ind w:right="-43"/>
              <w:jc w:val="center"/>
              <w:rPr>
                <w:rFonts w:ascii="Times New Roman" w:hAnsi="Times New Roman"/>
                <w:szCs w:val="16"/>
              </w:rPr>
            </w:pPr>
            <w:r>
              <w:rPr>
                <w:rFonts w:ascii="Times New Roman" w:hAnsi="Times New Roman"/>
                <w:szCs w:val="16"/>
              </w:rPr>
              <w:t>2 400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C62F78" w:rsidRPr="007A07AD" w:rsidTr="007A5BBE">
        <w:trPr>
          <w:trHeight w:val="163"/>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szCs w:val="16"/>
              </w:rPr>
            </w:pPr>
          </w:p>
        </w:tc>
      </w:tr>
      <w:tr w:rsidR="00C62F78" w:rsidRPr="007A07AD" w:rsidTr="007A5BBE">
        <w:trPr>
          <w:trHeight w:val="184"/>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b/>
                <w:bCs/>
                <w:color w:val="000000"/>
                <w:szCs w:val="16"/>
              </w:rPr>
            </w:pPr>
          </w:p>
        </w:tc>
      </w:tr>
      <w:tr w:rsidR="00C62F78" w:rsidRPr="007A07AD" w:rsidTr="007A5BBE">
        <w:trPr>
          <w:trHeight w:val="230"/>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13146C"/>
    <w:rsid w:val="00141BAC"/>
    <w:rsid w:val="00163233"/>
    <w:rsid w:val="001B0F69"/>
    <w:rsid w:val="00232912"/>
    <w:rsid w:val="00294828"/>
    <w:rsid w:val="003833FB"/>
    <w:rsid w:val="00494D69"/>
    <w:rsid w:val="004C1FD4"/>
    <w:rsid w:val="005016E0"/>
    <w:rsid w:val="005D58AF"/>
    <w:rsid w:val="0060647E"/>
    <w:rsid w:val="006A19FA"/>
    <w:rsid w:val="006C2A6A"/>
    <w:rsid w:val="006E69BA"/>
    <w:rsid w:val="00700863"/>
    <w:rsid w:val="00714FEC"/>
    <w:rsid w:val="00786429"/>
    <w:rsid w:val="007A5BBE"/>
    <w:rsid w:val="007B5E49"/>
    <w:rsid w:val="007D71C0"/>
    <w:rsid w:val="007D7F3B"/>
    <w:rsid w:val="00802BED"/>
    <w:rsid w:val="00855751"/>
    <w:rsid w:val="00884EB9"/>
    <w:rsid w:val="008A3D8F"/>
    <w:rsid w:val="008A4447"/>
    <w:rsid w:val="008B4BF0"/>
    <w:rsid w:val="009549C1"/>
    <w:rsid w:val="009C12A9"/>
    <w:rsid w:val="00A51933"/>
    <w:rsid w:val="00A57012"/>
    <w:rsid w:val="00A9698F"/>
    <w:rsid w:val="00AD46D0"/>
    <w:rsid w:val="00AE433E"/>
    <w:rsid w:val="00B22F65"/>
    <w:rsid w:val="00B31DDF"/>
    <w:rsid w:val="00B352F1"/>
    <w:rsid w:val="00B84041"/>
    <w:rsid w:val="00B912F0"/>
    <w:rsid w:val="00B92B8F"/>
    <w:rsid w:val="00C60246"/>
    <w:rsid w:val="00C62F78"/>
    <w:rsid w:val="00C9782D"/>
    <w:rsid w:val="00CF29B0"/>
    <w:rsid w:val="00D3215E"/>
    <w:rsid w:val="00D76B5C"/>
    <w:rsid w:val="00DA3408"/>
    <w:rsid w:val="00DB2F9D"/>
    <w:rsid w:val="00DF4FD0"/>
    <w:rsid w:val="00E032C0"/>
    <w:rsid w:val="00E26CC2"/>
    <w:rsid w:val="00E57010"/>
    <w:rsid w:val="00EA778F"/>
    <w:rsid w:val="00ED0BA9"/>
    <w:rsid w:val="00ED613E"/>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14617</Words>
  <Characters>8333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13</cp:revision>
  <dcterms:created xsi:type="dcterms:W3CDTF">2024-03-14T14:20:00Z</dcterms:created>
  <dcterms:modified xsi:type="dcterms:W3CDTF">2024-03-28T12:43:00Z</dcterms:modified>
</cp:coreProperties>
</file>