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highlight w:val="white"/>
        </w:rPr>
      </w:pP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ДОДАТОК  2</w:t>
      </w: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rtl w:val="0"/>
        </w:rPr>
        <w:t>до тендерної документації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 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highlight w:val="white"/>
          <w:rtl w:val="0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4"/>
          <w:szCs w:val="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  <w:rtl w:val="0"/>
        </w:rPr>
        <w:t>ТЕХНІЧНА СПЕЦИФІКАЦІЯ</w:t>
      </w:r>
    </w:p>
    <w:p>
      <w:pPr>
        <w:spacing w:before="240" w:after="0" w:line="24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sz w:val="24"/>
          <w:szCs w:val="24"/>
        </w:rPr>
        <w:t>Світлова акустична панель "Стріла Ultra Slim 118-48Led-200R-12В Синьо-Синя"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а ДК 021:2015 “Єдиний закупівельний словник” –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uk-UA"/>
        </w:rPr>
        <w:t>3162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0000-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uk-UA"/>
        </w:rPr>
        <w:t>8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Прилади звукової та візуальної сигналізації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 xml:space="preserve"> </w:t>
      </w:r>
    </w:p>
    <w:p>
      <w:pPr>
        <w:wordWrap w:val="0"/>
        <w:spacing w:after="0" w:line="240" w:lineRule="auto"/>
        <w:ind w:right="178" w:rightChars="81"/>
        <w:jc w:val="right"/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highlight w:val="white"/>
          <w:lang w:val="uk-UA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highlight w:val="white"/>
          <w:lang w:val="uk-UA"/>
        </w:rPr>
        <w:t>Таблиця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highlight w:val="white"/>
          <w:lang w:val="uk-UA"/>
        </w:rPr>
        <w:t xml:space="preserve"> 1 </w:t>
      </w:r>
    </w:p>
    <w:tbl>
      <w:tblPr>
        <w:tblStyle w:val="26"/>
        <w:tblW w:w="96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0"/>
        <w:gridCol w:w="4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Назва предмета закупівлі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0" w:line="240" w:lineRule="auto"/>
              <w:jc w:val="left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Світлова акустична панель "Стріла Ultra Slim 118-48Led-200R-12В Синьо-Синя"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за ДК 021:2015 “Єдиний закупівельний словник” –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  <w:t>3162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0000-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Прилади звукової та візуальної сигналізації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Код ДК 021:2015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ДК 021:2015 “Єдиний закупівельний словник” –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  <w:t>3162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0000-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Прилади звукової та візуальної сигналізації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Кількість поставки товару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Світлова акустична панель "Стріла Ultra Slim 118-48Led-200R-12В Синьо-Синя"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uk-UA"/>
              </w:rPr>
              <w:t xml:space="preserve"> - 6 комплектів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Місце поставки товару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>вул. С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>портивна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 xml:space="preserve"> 44,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 xml:space="preserve"> м.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>Дрогобич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>Львівська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 xml:space="preserve"> область, Україна, 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>82100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Строк поставки товару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  <w:lang w:val="uk-UA"/>
              </w:rPr>
              <w:t>20 грудня</w:t>
            </w:r>
            <w:r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</w:rPr>
              <w:t xml:space="preserve"> 20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  <w:lang w:val="uk-UA"/>
              </w:rPr>
              <w:t>24</w:t>
            </w:r>
            <w:r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</w:rPr>
              <w:t xml:space="preserve"> року включно</w:t>
            </w:r>
          </w:p>
        </w:tc>
      </w:tr>
    </w:tbl>
    <w:p>
      <w:pPr>
        <w:wordWrap w:val="0"/>
        <w:spacing w:after="0" w:line="240" w:lineRule="auto"/>
        <w:ind w:right="178" w:rightChars="81"/>
        <w:jc w:val="right"/>
        <w:rPr>
          <w:rFonts w:hint="default" w:ascii="Times New Roman" w:hAnsi="Times New Roman" w:eastAsia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uk-UA"/>
        </w:rPr>
        <w:t>Таблиця</w:t>
      </w:r>
      <w:r>
        <w:rPr>
          <w:rFonts w:hint="default" w:ascii="Times New Roman" w:hAnsi="Times New Roman" w:eastAsia="Times New Roman" w:cs="Times New Roman"/>
          <w:b/>
          <w:bCs/>
          <w:i/>
          <w:sz w:val="24"/>
          <w:szCs w:val="24"/>
          <w:lang w:val="uk-UA"/>
        </w:rPr>
        <w:t xml:space="preserve"> 2 </w:t>
      </w:r>
    </w:p>
    <w:tbl>
      <w:tblPr>
        <w:tblStyle w:val="9"/>
        <w:tblpPr w:leftFromText="180" w:rightFromText="180" w:vertAnchor="text" w:horzAnchor="page" w:tblpX="1324" w:tblpY="294"/>
        <w:tblW w:w="9645" w:type="dxa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755"/>
        <w:gridCol w:w="4890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90" w:hRule="atLeast"/>
        </w:trPr>
        <w:tc>
          <w:tcPr>
            <w:tcW w:w="9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Технічні характеристики предмету закупівлі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Напруга живлення , В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11-15/24-27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Споживана потужність при напрузі живлення 14 В, Вт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217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Звуковий тиск на відстані 2м, дБ.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120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Максимальній струм споживання при ввімкненій сирені та вогнях, 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15,5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Струм споживання в режимі мовчання, 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25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Девіація частоти сирен, Гц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WAIL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500-1500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HI-LO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670-1100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YELP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500-1500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HORN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500-1800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Режими роботи: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почергові спалахи LED-секцій правої та лівої сторін панелі зі зміною кількості спалахів та періоду їх повторення;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зменшена яскравість: почергові спалахи LED-секцій правої та лівої сторін панелі зі зміною кількості сполохів та періоду їх повторення ;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почергові 4-ні спалахи LED-секцій правої та лівої сторін панелі;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почергові 4-ні спалахи LED-секцій правої та лівої сторін панелі зі зменшеними періодами повторень;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почергові 3-ні спалахи окремих LED-секцій з правої сторони панелі до лівої та в зворотному напрямку (ефект маятника);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971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67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одночасні 3-ні спалахи всіх LED-секцій з переходам на почергові сполохи окремих груп LED-секцій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774"/>
                <w:tab w:val="left" w:pos="2565"/>
                <w:tab w:val="left" w:pos="3117"/>
                <w:tab w:val="left" w:pos="3908"/>
              </w:tabs>
              <w:autoSpaceDE w:val="0"/>
              <w:autoSpaceDN w:val="0"/>
              <w:spacing w:after="0" w:line="26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Припустима тривалість безперервної роботи світлосигнальної LED панелі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Не обмежено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Режим роботи з ввімкненою сиреною: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Робота, хв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Мовчання, хв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Система захисту від перенавантаження струму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uk-UA"/>
              </w:rPr>
              <w:t>К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омплект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uk-UA"/>
              </w:rPr>
              <w:t>ація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виносним пультом керування зі світловою індикацією режимів роботи, який суміщено з мікрофоном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Габаритні розміри підсилювача (ДхШхВ), мм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130х100х40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Вага підсилювача, кг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0,7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Габаритні розміри світлосигнальної панелі Стріла Ultra-Slim (ДхШхВ), мм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1183х241х48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Вага світлосигнальної панелі Стріла Ultra-Slim 1183 мм без вузла кріплення , к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5,4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Гарантійний строк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Не менше 12 місяців</w:t>
            </w:r>
          </w:p>
        </w:tc>
      </w:tr>
    </w:tbl>
    <w:p>
      <w:pPr>
        <w:shd w:val="clear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shd w:val="clear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shd w:val="clear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  <w:bookmarkStart w:id="1" w:name="_GoBack"/>
      <w:bookmarkEnd w:id="1"/>
    </w:p>
    <w:p>
      <w:p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b/>
          <w:bCs/>
          <w:i/>
          <w:iCs/>
          <w:sz w:val="24"/>
          <w:szCs w:val="24"/>
          <w:u w:val="single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sz w:val="24"/>
          <w:szCs w:val="24"/>
          <w:u w:val="single"/>
          <w:lang w:val="uk-UA"/>
        </w:rPr>
        <w:t>Комплектація</w:t>
      </w:r>
      <w:r>
        <w:rPr>
          <w:rFonts w:hint="default" w:ascii="Times New Roman" w:hAnsi="Times New Roman" w:eastAsia="SimSun" w:cs="Times New Roman"/>
          <w:b/>
          <w:bCs/>
          <w:i/>
          <w:iCs/>
          <w:sz w:val="24"/>
          <w:szCs w:val="24"/>
          <w:u w:val="single"/>
        </w:rPr>
        <w:t xml:space="preserve"> виробу</w:t>
      </w:r>
      <w:r>
        <w:rPr>
          <w:rFonts w:hint="default" w:ascii="Times New Roman" w:hAnsi="Times New Roman" w:eastAsia="SimSun" w:cs="Times New Roman"/>
          <w:b/>
          <w:bCs/>
          <w:i/>
          <w:iCs/>
          <w:sz w:val="24"/>
          <w:szCs w:val="24"/>
          <w:u w:val="single"/>
          <w:lang w:val="uk-UA"/>
        </w:rPr>
        <w:t>:</w:t>
      </w:r>
      <w:r>
        <w:rPr>
          <w:rFonts w:hint="default" w:ascii="Times New Roman" w:hAnsi="Times New Roman" w:eastAsia="SimSu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Світлосигнальна панель серії СТРІЛА Ultra-Slim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шт.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Вузол кріплення в комплекті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Блок підсилювача С2023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шт.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Мікрофон з пультом керування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шт.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Вузол кріплення мікрофона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шт.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Кабель-подовжувач для мікрофона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шт.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З’єднувальна колодка колодка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шт.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Гучномовець СДТ-200 Гд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шт.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Упаковка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1 шт. </w:t>
      </w:r>
    </w:p>
    <w:p>
      <w:pPr>
        <w:numPr>
          <w:ilvl w:val="0"/>
          <w:numId w:val="1"/>
        </w:num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Паспорт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>1 шт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.</w:t>
      </w:r>
    </w:p>
    <w:p>
      <w:pPr>
        <w:shd w:val="clear" w:fill="FFFFFF"/>
        <w:tabs>
          <w:tab w:val="left" w:pos="1134"/>
        </w:tabs>
        <w:spacing w:after="0" w:line="240" w:lineRule="auto"/>
        <w:ind w:left="0" w:right="178" w:rightChars="81" w:firstLine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rtl w:val="0"/>
        </w:rPr>
        <w:t>учасник у складі тендерної пропозиції надає:</w:t>
      </w:r>
    </w:p>
    <w:p>
      <w:pPr>
        <w:shd w:val="clear" w:fill="FFFFFF"/>
        <w:tabs>
          <w:tab w:val="left" w:pos="1134"/>
        </w:tabs>
        <w:spacing w:after="0" w:line="240" w:lineRule="auto"/>
        <w:ind w:left="0" w:right="178" w:rightChars="81" w:firstLine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rtl w:val="0"/>
        </w:rPr>
        <w:t xml:space="preserve">  </w:t>
      </w:r>
    </w:p>
    <w:p>
      <w:pPr>
        <w:numPr>
          <w:ilvl w:val="0"/>
          <w:numId w:val="0"/>
        </w:numPr>
        <w:tabs>
          <w:tab w:val="left" w:pos="1134"/>
        </w:tabs>
        <w:ind w:leftChars="0" w:right="178" w:rightChars="81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технічну специфікацію, складен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uk-UA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учасником згідно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з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none"/>
          <w:rtl w:val="0"/>
        </w:rPr>
        <w:t xml:space="preserve">Таблицею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highlight w:val="none"/>
          <w:rtl w:val="0"/>
          <w:lang w:val="uk-UA"/>
        </w:rPr>
        <w:t>3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none"/>
          <w:rtl w:val="0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</w:p>
    <w:p>
      <w:pPr>
        <w:tabs>
          <w:tab w:val="left" w:pos="1134"/>
        </w:tabs>
        <w:ind w:left="720" w:firstLine="0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highlight w:val="white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  <w:rtl w:val="0"/>
        </w:rPr>
        <w:t xml:space="preserve">       Таблиця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highlight w:val="white"/>
          <w:rtl w:val="0"/>
          <w:lang w:val="uk-UA"/>
        </w:rPr>
        <w:t>3</w:t>
      </w:r>
    </w:p>
    <w:tbl>
      <w:tblPr>
        <w:tblStyle w:val="27"/>
        <w:tblW w:w="9690" w:type="dxa"/>
        <w:tblInd w:w="-16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2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№ з/п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Найменування  товару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Од. виміру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Кількість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Технічні характеристики товару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Виробник товару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rtl w:val="0"/>
              </w:rPr>
              <w:t>*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Країна  походження товару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white"/>
                <w:rtl w:val="0"/>
              </w:rPr>
              <w:t>**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64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1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2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3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4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5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8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</w:tbl>
    <w:p>
      <w:pPr>
        <w:spacing w:after="0" w:line="240" w:lineRule="auto"/>
        <w:ind w:firstLine="283"/>
        <w:jc w:val="both"/>
        <w:rPr>
          <w:rFonts w:ascii="Times New Roman" w:hAnsi="Times New Roman" w:eastAsia="Times New Roman" w:cs="Times New Roman"/>
          <w:i/>
        </w:rPr>
      </w:pPr>
    </w:p>
    <w:p>
      <w:pPr>
        <w:spacing w:after="0" w:line="240" w:lineRule="auto"/>
        <w:ind w:right="178" w:rightChars="81" w:firstLine="283"/>
        <w:jc w:val="both"/>
        <w:rPr>
          <w:rFonts w:ascii="Times New Roman" w:hAnsi="Times New Roman" w:eastAsia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>
      <w:pPr>
        <w:spacing w:after="0" w:line="240" w:lineRule="auto"/>
        <w:ind w:right="178" w:rightChars="81" w:firstLine="283"/>
        <w:jc w:val="both"/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>
      <w:pPr>
        <w:spacing w:after="0" w:line="240" w:lineRule="auto"/>
        <w:ind w:right="178" w:rightChars="81" w:firstLine="283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 xml:space="preserve"> </w:t>
      </w:r>
    </w:p>
    <w:p>
      <w:pPr>
        <w:numPr>
          <w:ilvl w:val="0"/>
          <w:numId w:val="0"/>
        </w:numPr>
        <w:tabs>
          <w:tab w:val="left" w:pos="1134"/>
        </w:tabs>
        <w:ind w:leftChars="0" w:right="178" w:rightChars="81"/>
        <w:jc w:val="both"/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- 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>аблиц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ю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 xml:space="preserve"> відповідності технічним вимогам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</w:rPr>
        <w:t>складен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  <w:lang w:val="uk-UA"/>
        </w:rPr>
        <w:t>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учасником згідно з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rtl w:val="0"/>
        </w:rPr>
        <w:t xml:space="preserve">Таблицею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rtl w:val="0"/>
          <w:lang w:val="uk-UA"/>
        </w:rPr>
        <w:t xml:space="preserve">4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rtl w:val="0"/>
          <w:lang w:val="uk-UA"/>
        </w:rPr>
        <w:t>(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>Учасник повинен вка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зати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 xml:space="preserve"> відповідність товару, що пропонується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,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 xml:space="preserve"> параметрам технічних 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характеристик предмету закупівлі):</w:t>
      </w:r>
    </w:p>
    <w:p>
      <w:pPr>
        <w:numPr>
          <w:ilvl w:val="0"/>
          <w:numId w:val="0"/>
        </w:numPr>
        <w:tabs>
          <w:tab w:val="left" w:pos="1134"/>
        </w:tabs>
        <w:wordWrap w:val="0"/>
        <w:ind w:leftChars="0"/>
        <w:jc w:val="center"/>
        <w:rPr>
          <w:rFonts w:hint="default" w:ascii="Times New Roman" w:hAnsi="Times New Roman" w:cs="Times New Roman"/>
          <w:b/>
          <w:bCs/>
          <w:i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 xml:space="preserve">                                                                                                                                     Таблиця 4</w:t>
      </w:r>
    </w:p>
    <w:tbl>
      <w:tblPr>
        <w:tblStyle w:val="19"/>
        <w:tblW w:w="0" w:type="auto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175"/>
        <w:gridCol w:w="2175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№ з/п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white"/>
                <w:rtl w:val="0"/>
              </w:rPr>
              <w:t>Найменування  товару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Вимоги надані Замовником (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lang w:val="uk-UA"/>
              </w:rPr>
              <w:t>згідно таблиці 2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Значення показників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 xml:space="preserve"> запропоновані Учасником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Відповідність (вказати 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1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2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3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4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134"/>
        </w:tabs>
        <w:ind w:leftChars="0"/>
        <w:jc w:val="both"/>
        <w:rPr>
          <w:rFonts w:ascii="Times New Roman" w:hAnsi="Times New Roman" w:eastAsia="Times New Roman" w:cs="Times New Roman"/>
          <w:i/>
          <w:color w:val="4A86E8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 xml:space="preserve">- додаток 2 “Інформація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</w:rPr>
        <w:t>про необхідні технічні, якісні та кількісні характеристики предмета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</w:rPr>
        <w:t>закупівлі — технічні вимоги до предмета закупівлі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>”,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highlight w:val="none"/>
          <w:lang w:val="uk-UA"/>
        </w:rPr>
        <w:t xml:space="preserve"> підписаний та скріплений печаткою (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>за наявності);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>- гарантійний лист щодо поставки товару у комплектності згідно з вимогами, зазначенми в абзаці 1 Додатку 2 до тендерної документації (“Комплектація виробу”);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>- 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  <w:t xml:space="preserve">арантійний лист довільної форми про те, що гарантійний термін на поставлені товари буде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становити не менше 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місяців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. Початком гарантійного строку вважається день, наступний після дня підписання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>видаткової накладної;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yellow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експлуатаційний документ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(інструкції з експлуатації, гарантійний талон, технічний паспорт тощо), що містить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</w:rPr>
        <w:t xml:space="preserve"> відомості про технічні характеристики виробу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lang w:val="uk-UA"/>
        </w:rPr>
        <w:t>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 w:eastAsia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- гарантійний лист про те, що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Учасник самостійно забезпечує доставку та відвантаження товару на територію Замовника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. 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остачання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>овару здійснюється однією партією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.</w:t>
      </w:r>
    </w:p>
    <w:p>
      <w:pPr>
        <w:widowControl w:val="0"/>
        <w:numPr>
          <w:ilvl w:val="0"/>
          <w:numId w:val="0"/>
        </w:numPr>
        <w:tabs>
          <w:tab w:val="left" w:pos="1291"/>
        </w:tabs>
        <w:autoSpaceDE w:val="0"/>
        <w:autoSpaceDN w:val="0"/>
        <w:spacing w:after="0" w:line="240" w:lineRule="auto"/>
        <w:ind w:right="-58" w:rightChars="0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Весь товар та комплектуючі, що пропонуються Учасником, повин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ні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бути новими та таким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, що раніше не бу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ли в експлуатації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Якість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овару повинна відповідати характеристикам, які встановлені Підприємством-виробником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овару, та вимогам чинного законодавства України.</w:t>
      </w:r>
    </w:p>
    <w:p>
      <w:pPr>
        <w:widowControl w:val="0"/>
        <w:numPr>
          <w:ilvl w:val="0"/>
          <w:numId w:val="0"/>
        </w:numPr>
        <w:tabs>
          <w:tab w:val="left" w:pos="1291"/>
        </w:tabs>
        <w:autoSpaceDE w:val="0"/>
        <w:autoSpaceDN w:val="0"/>
        <w:spacing w:after="0" w:line="240" w:lineRule="auto"/>
        <w:ind w:right="-58" w:righ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lang w:val="uk-UA" w:eastAsia="en-US"/>
        </w:rPr>
        <w:t>Т</w:t>
      </w:r>
      <w:r>
        <w:rPr>
          <w:rFonts w:ascii="Times New Roman" w:hAnsi="Times New Roman" w:eastAsia="Times New Roman" w:cs="Times New Roman"/>
          <w:sz w:val="24"/>
          <w:lang w:eastAsia="en-US"/>
        </w:rPr>
        <w:t>овар повинен містити маркування відповідно до стандартів виробника,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що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дає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можливість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ідентифікувати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товар,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його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походження,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дату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виробництва.</w:t>
      </w:r>
      <w:r>
        <w:rPr>
          <w:rFonts w:ascii="Times New Roman" w:hAnsi="Times New Roman" w:eastAsia="Times New Roman" w:cs="Times New Roman"/>
          <w:spacing w:val="60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Товар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повинен бути упакований належним чином, що забезпечує його збереження при перевезенні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та зберіганні. Упаковка повинна бути безпечною при експлуатації, перевезенні та вантажно-розвантажувальних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роботах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.</w:t>
      </w:r>
    </w:p>
    <w:p>
      <w:pPr>
        <w:pStyle w:val="17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>При невідповідності даних технічних вимог в цілому та/або по окреми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  <w:lang w:val="uk-UA"/>
        </w:rPr>
        <w:t>х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 пункта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  <w:lang w:val="uk-UA"/>
        </w:rPr>
        <w:t>х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, або відсутності відповідності пунктів технічних вимог опису технічних та функціональних можливостей Товару, Замовник залишає за собою право відхилити пропозицію Учасника, згідно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rtl w:val="0"/>
        </w:rPr>
        <w:t>підпункт</w:t>
      </w:r>
      <w:r>
        <w:rPr>
          <w:rFonts w:hint="default" w:cs="Times New Roman"/>
          <w:b w:val="0"/>
          <w:bCs w:val="0"/>
          <w:i/>
          <w:iCs/>
          <w:color w:val="auto"/>
          <w:sz w:val="24"/>
          <w:szCs w:val="24"/>
          <w:rtl w:val="0"/>
          <w:lang w:val="uk-UA"/>
        </w:rPr>
        <w:t>у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rtl w:val="0"/>
        </w:rPr>
        <w:t xml:space="preserve"> 2 пункту 44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 Особливостей.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sectPr>
      <w:pgSz w:w="11906" w:h="16838"/>
      <w:pgMar w:top="426" w:right="850" w:bottom="850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F1CE1"/>
    <w:multiLevelType w:val="singleLevel"/>
    <w:tmpl w:val="14CF1CE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69F7214"/>
    <w:rsid w:val="1E9A516A"/>
    <w:rsid w:val="22A142B2"/>
    <w:rsid w:val="425C4616"/>
    <w:rsid w:val="44B43340"/>
    <w:rsid w:val="53C925BB"/>
    <w:rsid w:val="53CD5F44"/>
    <w:rsid w:val="5E9B0354"/>
    <w:rsid w:val="616B7B95"/>
    <w:rsid w:val="694F5ED5"/>
    <w:rsid w:val="70822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paragraph" w:styleId="2">
    <w:name w:val="heading 1"/>
    <w:next w:val="1"/>
    <w:qFormat/>
    <w:uiPriority w:val="9"/>
    <w:pPr>
      <w:keepNext/>
      <w:keepLines/>
      <w:spacing w:before="480" w:after="120" w:line="259" w:lineRule="auto"/>
      <w:outlineLvl w:val="0"/>
    </w:pPr>
    <w:rPr>
      <w:rFonts w:ascii="Calibri" w:hAnsi="Calibri" w:eastAsia="Calibri" w:cs="Calibri"/>
      <w:b/>
      <w:sz w:val="48"/>
      <w:szCs w:val="48"/>
      <w:lang w:val="uk-UA"/>
    </w:rPr>
  </w:style>
  <w:style w:type="paragraph" w:styleId="3">
    <w:name w:val="heading 2"/>
    <w:next w:val="1"/>
    <w:semiHidden/>
    <w:unhideWhenUsed/>
    <w:qFormat/>
    <w:uiPriority w:val="9"/>
    <w:pPr>
      <w:keepNext/>
      <w:keepLines/>
      <w:spacing w:before="360" w:after="80" w:line="259" w:lineRule="auto"/>
      <w:outlineLvl w:val="1"/>
    </w:pPr>
    <w:rPr>
      <w:rFonts w:ascii="Calibri" w:hAnsi="Calibri" w:eastAsia="Calibri" w:cs="Calibri"/>
      <w:b/>
      <w:sz w:val="36"/>
      <w:szCs w:val="36"/>
      <w:lang w:val="uk-UA"/>
    </w:rPr>
  </w:style>
  <w:style w:type="paragraph" w:styleId="4">
    <w:name w:val="heading 3"/>
    <w:next w:val="1"/>
    <w:semiHidden/>
    <w:unhideWhenUsed/>
    <w:qFormat/>
    <w:uiPriority w:val="9"/>
    <w:pPr>
      <w:keepNext/>
      <w:keepLines/>
      <w:spacing w:before="280" w:after="80" w:line="259" w:lineRule="auto"/>
      <w:outlineLvl w:val="2"/>
    </w:pPr>
    <w:rPr>
      <w:rFonts w:ascii="Calibri" w:hAnsi="Calibri" w:eastAsia="Calibri" w:cs="Calibri"/>
      <w:b/>
      <w:sz w:val="28"/>
      <w:szCs w:val="28"/>
      <w:lang w:val="uk-UA"/>
    </w:rPr>
  </w:style>
  <w:style w:type="paragraph" w:styleId="5">
    <w:name w:val="heading 4"/>
    <w:next w:val="1"/>
    <w:semiHidden/>
    <w:unhideWhenUsed/>
    <w:qFormat/>
    <w:uiPriority w:val="9"/>
    <w:pPr>
      <w:keepNext/>
      <w:keepLines/>
      <w:spacing w:before="240" w:after="40" w:line="259" w:lineRule="auto"/>
      <w:outlineLvl w:val="3"/>
    </w:pPr>
    <w:rPr>
      <w:rFonts w:ascii="Calibri" w:hAnsi="Calibri" w:eastAsia="Calibri" w:cs="Calibri"/>
      <w:b/>
      <w:sz w:val="24"/>
      <w:szCs w:val="24"/>
      <w:lang w:val="uk-UA"/>
    </w:rPr>
  </w:style>
  <w:style w:type="paragraph" w:styleId="6">
    <w:name w:val="heading 5"/>
    <w:next w:val="1"/>
    <w:semiHidden/>
    <w:unhideWhenUsed/>
    <w:qFormat/>
    <w:uiPriority w:val="9"/>
    <w:pPr>
      <w:keepNext/>
      <w:keepLines/>
      <w:spacing w:before="220" w:after="40" w:line="259" w:lineRule="auto"/>
      <w:outlineLvl w:val="4"/>
    </w:pPr>
    <w:rPr>
      <w:rFonts w:ascii="Calibri" w:hAnsi="Calibri" w:eastAsia="Calibri" w:cs="Calibri"/>
      <w:b/>
      <w:sz w:val="22"/>
      <w:szCs w:val="22"/>
      <w:lang w:val="uk-UA"/>
    </w:rPr>
  </w:style>
  <w:style w:type="paragraph" w:styleId="7">
    <w:name w:val="heading 6"/>
    <w:next w:val="1"/>
    <w:semiHidden/>
    <w:unhideWhenUsed/>
    <w:qFormat/>
    <w:uiPriority w:val="9"/>
    <w:pPr>
      <w:keepNext/>
      <w:keepLines/>
      <w:spacing w:before="200" w:after="40" w:line="259" w:lineRule="auto"/>
      <w:outlineLvl w:val="5"/>
    </w:pPr>
    <w:rPr>
      <w:rFonts w:ascii="Calibri" w:hAnsi="Calibri" w:eastAsia="Calibri" w:cs="Calibri"/>
      <w:b/>
      <w:sz w:val="20"/>
      <w:szCs w:val="20"/>
      <w:lang w:val="uk-U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2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Body Text 2"/>
    <w:basedOn w:val="1"/>
    <w:qFormat/>
    <w:uiPriority w:val="0"/>
    <w:pPr>
      <w:spacing w:before="0" w:beforeAutospacing="0" w:after="120" w:afterAutospacing="0" w:line="480" w:lineRule="auto"/>
    </w:pPr>
  </w:style>
  <w:style w:type="paragraph" w:styleId="14">
    <w:name w:val="annotation text"/>
    <w:basedOn w:val="1"/>
    <w:link w:val="2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5">
    <w:name w:val="annotation subject"/>
    <w:basedOn w:val="14"/>
    <w:next w:val="14"/>
    <w:link w:val="24"/>
    <w:semiHidden/>
    <w:unhideWhenUsed/>
    <w:qFormat/>
    <w:uiPriority w:val="99"/>
    <w:rPr>
      <w:b/>
      <w:bCs/>
    </w:rPr>
  </w:style>
  <w:style w:type="paragraph" w:styleId="16">
    <w:name w:val="Title"/>
    <w:next w:val="1"/>
    <w:qFormat/>
    <w:uiPriority w:val="10"/>
    <w:pPr>
      <w:keepNext/>
      <w:keepLines/>
      <w:spacing w:before="480" w:after="120" w:line="259" w:lineRule="auto"/>
    </w:pPr>
    <w:rPr>
      <w:rFonts w:ascii="Calibri" w:hAnsi="Calibri" w:eastAsia="Calibri" w:cs="Calibri"/>
      <w:b/>
      <w:sz w:val="72"/>
      <w:szCs w:val="72"/>
      <w:lang w:val="uk-UA"/>
    </w:rPr>
  </w:style>
  <w:style w:type="paragraph" w:styleId="1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8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styleId="19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30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22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character" w:customStyle="1" w:styleId="23">
    <w:name w:val="Текст примечания Знак"/>
    <w:basedOn w:val="8"/>
    <w:link w:val="14"/>
    <w:semiHidden/>
    <w:qFormat/>
    <w:uiPriority w:val="99"/>
    <w:rPr>
      <w:sz w:val="20"/>
      <w:szCs w:val="20"/>
    </w:rPr>
  </w:style>
  <w:style w:type="character" w:customStyle="1" w:styleId="24">
    <w:name w:val="Тема примечания Знак"/>
    <w:basedOn w:val="23"/>
    <w:link w:val="15"/>
    <w:semiHidden/>
    <w:qFormat/>
    <w:uiPriority w:val="99"/>
    <w:rPr>
      <w:b/>
      <w:bCs/>
      <w:sz w:val="20"/>
      <w:szCs w:val="20"/>
    </w:rPr>
  </w:style>
  <w:style w:type="character" w:customStyle="1" w:styleId="25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26">
    <w:name w:val="_Style 42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43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44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4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4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4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2">
    <w:name w:val="fontstyle01"/>
    <w:basedOn w:val="33"/>
    <w:qFormat/>
    <w:uiPriority w:val="0"/>
    <w:rPr>
      <w:rFonts w:ascii="TimesNewRomanPS-BoldMT" w:hAnsi="TimesNewRomanPS-BoldMT"/>
      <w:b/>
      <w:color w:val="000000"/>
      <w:sz w:val="24"/>
    </w:rPr>
  </w:style>
  <w:style w:type="character" w:customStyle="1" w:styleId="33">
    <w:name w:val="Default_20_Paragraph_20_Fon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2022-08-17T14:44:00Z</dcterms:created>
  <dc:creator>userua12</dc:creator>
  <cp:lastModifiedBy>Оксана Павлюк</cp:lastModifiedBy>
  <cp:lastPrinted>2024-03-20T09:52:00Z</cp:lastPrinted>
  <dcterms:modified xsi:type="dcterms:W3CDTF">2024-03-21T08:32:04Z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0B647FD9A87548DEB4CFE729E6C92BEB_12</vt:lpwstr>
  </property>
</Properties>
</file>