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DD" w:rsidRPr="001F2ACF" w:rsidRDefault="00F723DD" w:rsidP="009342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2ACF">
        <w:rPr>
          <w:rFonts w:ascii="Times New Roman" w:hAnsi="Times New Roman" w:cs="Times New Roman"/>
          <w:b/>
          <w:sz w:val="24"/>
          <w:szCs w:val="24"/>
        </w:rPr>
        <w:t>Додаток 2</w:t>
      </w:r>
    </w:p>
    <w:p w:rsidR="00F723DD" w:rsidRPr="001F2ACF" w:rsidRDefault="00F723DD" w:rsidP="00934260">
      <w:pPr>
        <w:spacing w:after="0" w:line="240" w:lineRule="auto"/>
        <w:ind w:left="5660"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1F2ACF">
        <w:rPr>
          <w:rFonts w:ascii="Times New Roman" w:hAnsi="Times New Roman" w:cs="Times New Roman"/>
          <w:sz w:val="24"/>
          <w:szCs w:val="24"/>
        </w:rPr>
        <w:t>    </w:t>
      </w:r>
      <w:r w:rsidRPr="001F2ACF">
        <w:rPr>
          <w:rFonts w:ascii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F723DD" w:rsidRPr="001F2ACF" w:rsidRDefault="00F723DD" w:rsidP="009342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723DD" w:rsidRPr="00AE3D16" w:rsidRDefault="00F723DD" w:rsidP="00B42C5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E3D16">
        <w:rPr>
          <w:b/>
          <w:sz w:val="24"/>
          <w:szCs w:val="24"/>
        </w:rPr>
        <w:t xml:space="preserve">Таблиця відповідності </w:t>
      </w:r>
    </w:p>
    <w:p w:rsidR="00F723DD" w:rsidRPr="00AE3D16" w:rsidRDefault="00F723DD" w:rsidP="00B42C54">
      <w:pPr>
        <w:jc w:val="center"/>
        <w:rPr>
          <w:b/>
          <w:sz w:val="24"/>
          <w:szCs w:val="24"/>
        </w:rPr>
      </w:pPr>
      <w:r w:rsidRPr="00AE3D16">
        <w:rPr>
          <w:b/>
          <w:sz w:val="24"/>
          <w:szCs w:val="24"/>
        </w:rPr>
        <w:t>медико-технічним вимогам</w:t>
      </w:r>
    </w:p>
    <w:p w:rsidR="00F723DD" w:rsidRPr="00AE3D16" w:rsidRDefault="00F723DD" w:rsidP="00B42C54">
      <w:pPr>
        <w:jc w:val="center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AE3D16">
        <w:rPr>
          <w:b/>
          <w:sz w:val="24"/>
          <w:szCs w:val="24"/>
        </w:rPr>
        <w:t>Автоматичний гематологічний аналізатор – 1 шт.</w:t>
      </w:r>
    </w:p>
    <w:tbl>
      <w:tblPr>
        <w:tblpPr w:leftFromText="180" w:rightFromText="180" w:vertAnchor="text" w:horzAnchor="margin" w:tblpXSpec="center" w:tblpY="434"/>
        <w:tblW w:w="112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989"/>
        <w:gridCol w:w="7223"/>
        <w:gridCol w:w="3009"/>
      </w:tblGrid>
      <w:tr w:rsidR="00F723DD" w:rsidRPr="00AE3D16" w:rsidTr="00A13304">
        <w:trPr>
          <w:trHeight w:val="1377"/>
        </w:trPr>
        <w:tc>
          <w:tcPr>
            <w:tcW w:w="989" w:type="dxa"/>
            <w:vAlign w:val="center"/>
          </w:tcPr>
          <w:p w:rsidR="00F723DD" w:rsidRPr="00AE3D16" w:rsidRDefault="00F723DD" w:rsidP="00A13304">
            <w:pPr>
              <w:jc w:val="center"/>
              <w:rPr>
                <w:color w:val="000000"/>
                <w:sz w:val="24"/>
                <w:szCs w:val="24"/>
              </w:rPr>
            </w:pPr>
            <w:r w:rsidRPr="00AE3D1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23" w:type="dxa"/>
            <w:vAlign w:val="center"/>
          </w:tcPr>
          <w:p w:rsidR="00F723DD" w:rsidRDefault="00F723DD" w:rsidP="00A13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3D16">
              <w:rPr>
                <w:sz w:val="24"/>
                <w:szCs w:val="24"/>
              </w:rPr>
              <w:t>Медико – технічні вимоги</w:t>
            </w:r>
          </w:p>
          <w:p w:rsidR="00F723DD" w:rsidRDefault="00F723DD" w:rsidP="00A13304">
            <w:pPr>
              <w:ind w:left="720"/>
              <w:jc w:val="center"/>
              <w:rPr>
                <w:b/>
                <w:sz w:val="24"/>
              </w:rPr>
            </w:pPr>
            <w:r>
              <w:rPr>
                <w:b/>
              </w:rPr>
              <w:t>КОД НК 35476 Аналізатор гематологічний IVD (діагностика in vitro ), автоматичний</w:t>
            </w:r>
          </w:p>
          <w:p w:rsidR="00F723DD" w:rsidRPr="00AE3D16" w:rsidRDefault="00F723DD" w:rsidP="00A133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F723DD" w:rsidRPr="00AE3D16" w:rsidRDefault="00F723DD" w:rsidP="00A13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3D16">
              <w:rPr>
                <w:sz w:val="24"/>
                <w:szCs w:val="24"/>
              </w:rPr>
              <w:t>Відповідність вимогам</w:t>
            </w:r>
          </w:p>
          <w:p w:rsidR="00F723DD" w:rsidRPr="00AE3D16" w:rsidRDefault="00F723DD" w:rsidP="00A13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3D16">
              <w:rPr>
                <w:sz w:val="24"/>
                <w:szCs w:val="24"/>
              </w:rPr>
              <w:t>(Учаснику вказати посилання на сторінку інструкції з експлуатації)</w:t>
            </w:r>
          </w:p>
        </w:tc>
      </w:tr>
      <w:tr w:rsidR="00F723DD" w:rsidRPr="00AE3D16" w:rsidTr="00A13304">
        <w:trPr>
          <w:trHeight w:val="561"/>
        </w:trPr>
        <w:tc>
          <w:tcPr>
            <w:tcW w:w="989" w:type="dxa"/>
          </w:tcPr>
          <w:p w:rsidR="00F723DD" w:rsidRPr="00AE3D16" w:rsidRDefault="00F723DD" w:rsidP="00B42C54">
            <w:pPr>
              <w:numPr>
                <w:ilvl w:val="0"/>
                <w:numId w:val="1"/>
              </w:numPr>
              <w:spacing w:after="0" w:line="240" w:lineRule="auto"/>
              <w:ind w:left="57" w:firstLine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</w:tcPr>
          <w:p w:rsidR="00F723DD" w:rsidRPr="00AE3D16" w:rsidRDefault="00F723DD" w:rsidP="00A13304">
            <w:pPr>
              <w:ind w:left="57" w:firstLine="57"/>
              <w:rPr>
                <w:color w:val="000000"/>
                <w:sz w:val="24"/>
                <w:szCs w:val="24"/>
              </w:rPr>
            </w:pPr>
            <w:r w:rsidRPr="00AE3D16">
              <w:rPr>
                <w:color w:val="000000"/>
                <w:sz w:val="24"/>
                <w:szCs w:val="24"/>
              </w:rPr>
              <w:t xml:space="preserve">Кількість параметрів, що вимірюються аналізатором, повинна бути не менше 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AE3D16">
              <w:rPr>
                <w:color w:val="000000"/>
                <w:sz w:val="24"/>
                <w:szCs w:val="24"/>
              </w:rPr>
              <w:t xml:space="preserve"> шт</w:t>
            </w:r>
          </w:p>
        </w:tc>
        <w:tc>
          <w:tcPr>
            <w:tcW w:w="3009" w:type="dxa"/>
          </w:tcPr>
          <w:p w:rsidR="00F723DD" w:rsidRPr="00AE3D16" w:rsidRDefault="00F723DD" w:rsidP="00A13304">
            <w:pPr>
              <w:ind w:left="57" w:firstLine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23DD" w:rsidRPr="00852C1D" w:rsidTr="00A13304">
        <w:trPr>
          <w:trHeight w:val="4211"/>
        </w:trPr>
        <w:tc>
          <w:tcPr>
            <w:tcW w:w="989" w:type="dxa"/>
          </w:tcPr>
          <w:p w:rsidR="00F723DD" w:rsidRPr="00AE3D16" w:rsidRDefault="00F723DD" w:rsidP="00B42C54">
            <w:pPr>
              <w:numPr>
                <w:ilvl w:val="0"/>
                <w:numId w:val="1"/>
              </w:numPr>
              <w:spacing w:after="0" w:line="240" w:lineRule="auto"/>
              <w:ind w:left="57" w:firstLine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</w:tcPr>
          <w:p w:rsidR="00F723DD" w:rsidRPr="00417883" w:rsidRDefault="00F723DD" w:rsidP="00A13304">
            <w:pPr>
              <w:ind w:left="57" w:firstLine="57"/>
              <w:jc w:val="both"/>
              <w:rPr>
                <w:color w:val="000000"/>
                <w:sz w:val="24"/>
                <w:szCs w:val="24"/>
              </w:rPr>
            </w:pPr>
            <w:r w:rsidRPr="00417883">
              <w:rPr>
                <w:color w:val="000000"/>
                <w:sz w:val="24"/>
                <w:szCs w:val="24"/>
              </w:rPr>
              <w:t>Аналізатор повинен проводити дослідження за наступними</w:t>
            </w:r>
          </w:p>
          <w:p w:rsidR="00F723DD" w:rsidRPr="00417883" w:rsidRDefault="00F723DD" w:rsidP="00A13304">
            <w:pPr>
              <w:ind w:left="57" w:firstLine="57"/>
              <w:jc w:val="both"/>
              <w:rPr>
                <w:color w:val="000000"/>
                <w:sz w:val="24"/>
                <w:szCs w:val="24"/>
              </w:rPr>
            </w:pPr>
            <w:r w:rsidRPr="00417883">
              <w:rPr>
                <w:color w:val="000000"/>
                <w:sz w:val="24"/>
                <w:szCs w:val="24"/>
              </w:rPr>
              <w:t>показниками:</w:t>
            </w:r>
          </w:p>
          <w:p w:rsidR="00F723DD" w:rsidRPr="00417883" w:rsidRDefault="00F723DD" w:rsidP="00A13304">
            <w:pPr>
              <w:ind w:left="57" w:firstLine="57"/>
              <w:jc w:val="both"/>
              <w:rPr>
                <w:color w:val="000000"/>
                <w:sz w:val="24"/>
                <w:szCs w:val="24"/>
              </w:rPr>
            </w:pPr>
            <w:r w:rsidRPr="00417883">
              <w:rPr>
                <w:color w:val="000000"/>
                <w:sz w:val="24"/>
                <w:szCs w:val="24"/>
              </w:rPr>
              <w:t>WBC – лейкоцити, Lym# - абсолютна кількість лімфоцитів, Mid# - абсолютна кількість середніх клітин, Gran# - абсолютна кількість гранулоцитів, Lym% - процент лімфоцитів, Mid% - процент середніх клітин, Gran% - процент гранулоцитів;</w:t>
            </w:r>
          </w:p>
          <w:p w:rsidR="00F723DD" w:rsidRPr="00417883" w:rsidRDefault="00F723DD" w:rsidP="00A13304">
            <w:pPr>
              <w:ind w:left="57" w:firstLine="57"/>
              <w:jc w:val="both"/>
              <w:rPr>
                <w:color w:val="000000"/>
                <w:sz w:val="24"/>
                <w:szCs w:val="24"/>
              </w:rPr>
            </w:pPr>
            <w:r w:rsidRPr="00417883">
              <w:rPr>
                <w:color w:val="000000"/>
                <w:sz w:val="24"/>
                <w:szCs w:val="24"/>
              </w:rPr>
              <w:t>RBC – еритроцити, Hgb-гемоглобін,</w:t>
            </w:r>
          </w:p>
          <w:p w:rsidR="00F723DD" w:rsidRPr="00417883" w:rsidRDefault="00F723DD" w:rsidP="00A13304">
            <w:pPr>
              <w:ind w:left="57" w:firstLine="57"/>
              <w:jc w:val="both"/>
              <w:rPr>
                <w:color w:val="000000"/>
                <w:sz w:val="24"/>
                <w:szCs w:val="24"/>
              </w:rPr>
            </w:pPr>
            <w:r w:rsidRPr="00417883">
              <w:rPr>
                <w:color w:val="000000"/>
                <w:sz w:val="24"/>
                <w:szCs w:val="24"/>
              </w:rPr>
              <w:t>MCV – середній об’єм еритроцитів,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7883">
              <w:rPr>
                <w:color w:val="000000"/>
                <w:sz w:val="24"/>
                <w:szCs w:val="24"/>
              </w:rPr>
              <w:t>MCH – середній вміст гемоглобіну в одному еритроциті, MCHC – середня концентрація гемоглобіну в еритроцитах, RDW-CV – коефіцієнт варіації ширини розподілу еритроцитів по об’єму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17883">
              <w:rPr>
                <w:color w:val="000000"/>
                <w:sz w:val="24"/>
                <w:szCs w:val="24"/>
              </w:rPr>
              <w:t>RDW-SD – стандартне відхилення ширини розподілу еритроцитів по об’єму;</w:t>
            </w:r>
          </w:p>
          <w:p w:rsidR="00F723DD" w:rsidRPr="00351311" w:rsidRDefault="00F723DD" w:rsidP="00A13304">
            <w:pPr>
              <w:ind w:left="57" w:firstLine="57"/>
              <w:jc w:val="both"/>
              <w:rPr>
                <w:color w:val="000000"/>
                <w:sz w:val="24"/>
                <w:szCs w:val="24"/>
              </w:rPr>
            </w:pPr>
            <w:r w:rsidRPr="00417883">
              <w:rPr>
                <w:color w:val="000000"/>
                <w:sz w:val="24"/>
                <w:szCs w:val="24"/>
              </w:rPr>
              <w:t>PLT – тромбоцити, НСТ –гематокрит, MPV – середній об’єм тромбоцитів, PDW - ширина розподілу тромбоцитів по об’єму, PCT – тромбокрит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  <w:r>
              <w:rPr>
                <w:color w:val="000000"/>
                <w:sz w:val="24"/>
                <w:szCs w:val="24"/>
                <w:lang w:val="en-US"/>
              </w:rPr>
              <w:t>P</w:t>
            </w:r>
            <w:r w:rsidRPr="0035131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LCR</w:t>
            </w:r>
            <w:r w:rsidRPr="0035131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35131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відносна кількість великих тромбоцитів (%); </w:t>
            </w:r>
            <w:r>
              <w:rPr>
                <w:color w:val="000000"/>
                <w:sz w:val="24"/>
                <w:szCs w:val="24"/>
                <w:lang w:val="en-US"/>
              </w:rPr>
              <w:t>P</w:t>
            </w:r>
            <w:r w:rsidRPr="0035131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LCC</w:t>
            </w:r>
            <w:r w:rsidRPr="0035131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35131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кількість великих тромбоцитів </w:t>
            </w:r>
          </w:p>
        </w:tc>
        <w:tc>
          <w:tcPr>
            <w:tcW w:w="3009" w:type="dxa"/>
          </w:tcPr>
          <w:p w:rsidR="00F723DD" w:rsidRPr="00AE3D16" w:rsidRDefault="00F723DD" w:rsidP="00A13304">
            <w:pPr>
              <w:ind w:left="57" w:firstLine="57"/>
              <w:jc w:val="center"/>
              <w:rPr>
                <w:sz w:val="24"/>
                <w:szCs w:val="24"/>
              </w:rPr>
            </w:pPr>
          </w:p>
        </w:tc>
      </w:tr>
      <w:tr w:rsidR="00F723DD" w:rsidRPr="00AE3D16" w:rsidTr="00A13304">
        <w:trPr>
          <w:trHeight w:val="557"/>
        </w:trPr>
        <w:tc>
          <w:tcPr>
            <w:tcW w:w="989" w:type="dxa"/>
          </w:tcPr>
          <w:p w:rsidR="00F723DD" w:rsidRPr="00AE3D16" w:rsidRDefault="00F723DD" w:rsidP="00B42C54">
            <w:pPr>
              <w:numPr>
                <w:ilvl w:val="0"/>
                <w:numId w:val="1"/>
              </w:numPr>
              <w:spacing w:after="0" w:line="240" w:lineRule="auto"/>
              <w:ind w:left="73"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</w:tcPr>
          <w:p w:rsidR="00F723DD" w:rsidRPr="00417883" w:rsidRDefault="00F723DD" w:rsidP="00A13304">
            <w:pPr>
              <w:rPr>
                <w:color w:val="000000"/>
                <w:sz w:val="24"/>
                <w:szCs w:val="24"/>
              </w:rPr>
            </w:pPr>
            <w:r w:rsidRPr="00417883">
              <w:rPr>
                <w:color w:val="000000"/>
                <w:sz w:val="24"/>
                <w:szCs w:val="24"/>
              </w:rPr>
              <w:t xml:space="preserve">Продуктивність аналізатора повинна становити не менше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417883">
              <w:rPr>
                <w:color w:val="000000"/>
                <w:sz w:val="24"/>
                <w:szCs w:val="24"/>
              </w:rPr>
              <w:t>0 тестів на годину</w:t>
            </w:r>
          </w:p>
        </w:tc>
        <w:tc>
          <w:tcPr>
            <w:tcW w:w="3009" w:type="dxa"/>
          </w:tcPr>
          <w:p w:rsidR="00F723DD" w:rsidRPr="00AE3D16" w:rsidRDefault="00F723DD" w:rsidP="00A13304">
            <w:pPr>
              <w:ind w:left="57" w:firstLine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23DD" w:rsidRPr="00AE3D16" w:rsidTr="00A13304">
        <w:trPr>
          <w:trHeight w:val="163"/>
        </w:trPr>
        <w:tc>
          <w:tcPr>
            <w:tcW w:w="989" w:type="dxa"/>
          </w:tcPr>
          <w:p w:rsidR="00F723DD" w:rsidRPr="00AE3D16" w:rsidRDefault="00F723DD" w:rsidP="00B42C54">
            <w:pPr>
              <w:numPr>
                <w:ilvl w:val="0"/>
                <w:numId w:val="1"/>
              </w:numPr>
              <w:spacing w:after="0" w:line="240" w:lineRule="auto"/>
              <w:ind w:left="73"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</w:tcPr>
          <w:p w:rsidR="00F723DD" w:rsidRPr="00417883" w:rsidRDefault="00F723DD" w:rsidP="00A13304">
            <w:pPr>
              <w:rPr>
                <w:color w:val="000000"/>
                <w:sz w:val="24"/>
                <w:szCs w:val="24"/>
              </w:rPr>
            </w:pPr>
            <w:r w:rsidRPr="00417883">
              <w:rPr>
                <w:color w:val="000000"/>
                <w:sz w:val="24"/>
                <w:szCs w:val="24"/>
              </w:rPr>
              <w:t>Закрита система.</w:t>
            </w:r>
          </w:p>
        </w:tc>
        <w:tc>
          <w:tcPr>
            <w:tcW w:w="3009" w:type="dxa"/>
          </w:tcPr>
          <w:p w:rsidR="00F723DD" w:rsidRPr="00AE3D16" w:rsidRDefault="00F723DD" w:rsidP="00A1330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723DD" w:rsidRPr="00C75053" w:rsidTr="00A13304">
        <w:trPr>
          <w:trHeight w:val="830"/>
        </w:trPr>
        <w:tc>
          <w:tcPr>
            <w:tcW w:w="989" w:type="dxa"/>
          </w:tcPr>
          <w:p w:rsidR="00F723DD" w:rsidRPr="00AE3D16" w:rsidRDefault="00F723DD" w:rsidP="00B42C54">
            <w:pPr>
              <w:numPr>
                <w:ilvl w:val="0"/>
                <w:numId w:val="1"/>
              </w:numPr>
              <w:spacing w:after="0" w:line="240" w:lineRule="auto"/>
              <w:ind w:left="73"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</w:tcPr>
          <w:p w:rsidR="00F723DD" w:rsidRPr="00417883" w:rsidRDefault="00F723DD" w:rsidP="00A13304">
            <w:pPr>
              <w:rPr>
                <w:color w:val="000000"/>
                <w:sz w:val="24"/>
                <w:szCs w:val="24"/>
              </w:rPr>
            </w:pPr>
            <w:r w:rsidRPr="00417883">
              <w:rPr>
                <w:color w:val="000000"/>
                <w:sz w:val="24"/>
                <w:szCs w:val="24"/>
              </w:rPr>
              <w:t xml:space="preserve">Аналізатор повинен будувати та виводити на екран і на друк гістограми для наступних параметрів: </w:t>
            </w:r>
            <w:r w:rsidRPr="00417883">
              <w:rPr>
                <w:i/>
                <w:iCs/>
                <w:color w:val="000000"/>
                <w:sz w:val="24"/>
                <w:szCs w:val="24"/>
              </w:rPr>
              <w:t>WBC</w:t>
            </w:r>
            <w:r w:rsidRPr="00417883">
              <w:rPr>
                <w:color w:val="000000"/>
                <w:sz w:val="24"/>
                <w:szCs w:val="24"/>
              </w:rPr>
              <w:t>- лейкоцитів, RBC - еритроцитів, PLT- тромбоцитів</w:t>
            </w:r>
          </w:p>
        </w:tc>
        <w:tc>
          <w:tcPr>
            <w:tcW w:w="3009" w:type="dxa"/>
          </w:tcPr>
          <w:p w:rsidR="00F723DD" w:rsidRPr="00AE3D16" w:rsidRDefault="00F723DD" w:rsidP="00A13304">
            <w:pPr>
              <w:jc w:val="center"/>
              <w:rPr>
                <w:sz w:val="24"/>
                <w:szCs w:val="24"/>
              </w:rPr>
            </w:pPr>
          </w:p>
        </w:tc>
      </w:tr>
      <w:tr w:rsidR="00F723DD" w:rsidRPr="00D2503D" w:rsidTr="00A13304">
        <w:trPr>
          <w:trHeight w:val="535"/>
        </w:trPr>
        <w:tc>
          <w:tcPr>
            <w:tcW w:w="989" w:type="dxa"/>
          </w:tcPr>
          <w:p w:rsidR="00F723DD" w:rsidRPr="00AE3D16" w:rsidRDefault="00F723DD" w:rsidP="00B42C54">
            <w:pPr>
              <w:numPr>
                <w:ilvl w:val="0"/>
                <w:numId w:val="1"/>
              </w:numPr>
              <w:spacing w:after="0" w:line="240" w:lineRule="auto"/>
              <w:ind w:left="73"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</w:tcPr>
          <w:p w:rsidR="00F723DD" w:rsidRDefault="00F723DD" w:rsidP="00A13304">
            <w:pPr>
              <w:rPr>
                <w:sz w:val="24"/>
                <w:szCs w:val="24"/>
                <w:lang w:eastAsia="en-US"/>
              </w:rPr>
            </w:pPr>
            <w:r w:rsidRPr="00417883">
              <w:rPr>
                <w:sz w:val="24"/>
                <w:szCs w:val="24"/>
                <w:lang w:eastAsia="en-US"/>
              </w:rPr>
              <w:t xml:space="preserve">Діаметр апертури </w:t>
            </w:r>
            <w:r w:rsidRPr="00417883">
              <w:rPr>
                <w:sz w:val="24"/>
                <w:szCs w:val="24"/>
                <w:lang w:val="en-US" w:eastAsia="en-US"/>
              </w:rPr>
              <w:t>WBC</w:t>
            </w:r>
            <w:r w:rsidRPr="00417883">
              <w:rPr>
                <w:sz w:val="24"/>
                <w:szCs w:val="24"/>
                <w:lang w:eastAsia="en-US"/>
              </w:rPr>
              <w:t xml:space="preserve">: не більше 100 мкм </w:t>
            </w:r>
          </w:p>
          <w:p w:rsidR="00F723DD" w:rsidRPr="00417883" w:rsidRDefault="00F723DD" w:rsidP="00A1330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9" w:type="dxa"/>
          </w:tcPr>
          <w:p w:rsidR="00F723DD" w:rsidRPr="00AE3D16" w:rsidRDefault="00F723DD" w:rsidP="00A13304">
            <w:pPr>
              <w:jc w:val="center"/>
              <w:rPr>
                <w:sz w:val="24"/>
                <w:szCs w:val="24"/>
              </w:rPr>
            </w:pPr>
          </w:p>
        </w:tc>
      </w:tr>
      <w:tr w:rsidR="00F723DD" w:rsidRPr="00D2503D" w:rsidTr="00A13304">
        <w:trPr>
          <w:trHeight w:val="535"/>
        </w:trPr>
        <w:tc>
          <w:tcPr>
            <w:tcW w:w="989" w:type="dxa"/>
          </w:tcPr>
          <w:p w:rsidR="00F723DD" w:rsidRPr="00AE3D16" w:rsidRDefault="00F723DD" w:rsidP="00B42C54">
            <w:pPr>
              <w:numPr>
                <w:ilvl w:val="0"/>
                <w:numId w:val="1"/>
              </w:numPr>
              <w:spacing w:after="0" w:line="240" w:lineRule="auto"/>
              <w:ind w:left="73"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</w:tcPr>
          <w:p w:rsidR="00F723DD" w:rsidRPr="00417883" w:rsidRDefault="00F723DD" w:rsidP="00A13304">
            <w:pPr>
              <w:rPr>
                <w:sz w:val="24"/>
                <w:szCs w:val="24"/>
                <w:lang w:eastAsia="en-US"/>
              </w:rPr>
            </w:pPr>
            <w:r w:rsidRPr="00417883">
              <w:rPr>
                <w:sz w:val="24"/>
                <w:szCs w:val="24"/>
                <w:lang w:eastAsia="en-US"/>
              </w:rPr>
              <w:t xml:space="preserve">Діаметр апертури </w:t>
            </w:r>
            <w:r w:rsidRPr="00417883">
              <w:rPr>
                <w:sz w:val="24"/>
                <w:szCs w:val="24"/>
                <w:lang w:val="en-US" w:eastAsia="en-US"/>
              </w:rPr>
              <w:t>RBC</w:t>
            </w:r>
            <w:r w:rsidRPr="00417883">
              <w:rPr>
                <w:sz w:val="24"/>
                <w:szCs w:val="24"/>
                <w:lang w:eastAsia="en-US"/>
              </w:rPr>
              <w:t>/</w:t>
            </w:r>
            <w:r w:rsidRPr="00417883">
              <w:rPr>
                <w:sz w:val="24"/>
                <w:szCs w:val="24"/>
                <w:lang w:val="en-US" w:eastAsia="en-US"/>
              </w:rPr>
              <w:t>PLT</w:t>
            </w:r>
            <w:r>
              <w:rPr>
                <w:sz w:val="24"/>
                <w:szCs w:val="24"/>
                <w:lang w:eastAsia="en-US"/>
              </w:rPr>
              <w:t>:</w:t>
            </w:r>
            <w:r w:rsidRPr="00417883">
              <w:rPr>
                <w:sz w:val="24"/>
                <w:szCs w:val="24"/>
                <w:lang w:eastAsia="en-US"/>
              </w:rPr>
              <w:t xml:space="preserve"> не більше 70 мкм</w:t>
            </w:r>
          </w:p>
        </w:tc>
        <w:tc>
          <w:tcPr>
            <w:tcW w:w="3009" w:type="dxa"/>
          </w:tcPr>
          <w:p w:rsidR="00F723DD" w:rsidRPr="00AE3D16" w:rsidRDefault="00F723DD" w:rsidP="00A13304">
            <w:pPr>
              <w:jc w:val="center"/>
              <w:rPr>
                <w:sz w:val="24"/>
                <w:szCs w:val="24"/>
              </w:rPr>
            </w:pPr>
          </w:p>
        </w:tc>
      </w:tr>
      <w:tr w:rsidR="00F723DD" w:rsidRPr="00AE3D16" w:rsidTr="00A13304">
        <w:trPr>
          <w:trHeight w:val="830"/>
        </w:trPr>
        <w:tc>
          <w:tcPr>
            <w:tcW w:w="989" w:type="dxa"/>
          </w:tcPr>
          <w:p w:rsidR="00F723DD" w:rsidRPr="00AE3D16" w:rsidRDefault="00F723DD" w:rsidP="00B42C54">
            <w:pPr>
              <w:numPr>
                <w:ilvl w:val="0"/>
                <w:numId w:val="1"/>
              </w:numPr>
              <w:spacing w:after="0" w:line="240" w:lineRule="auto"/>
              <w:ind w:left="73"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</w:tcPr>
          <w:p w:rsidR="00F723DD" w:rsidRPr="00417883" w:rsidRDefault="00F723DD" w:rsidP="00A13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Діапазон лінійності (з урахуванням діапазону відхилення за видом матеріалу дослідження) повинен</w:t>
            </w:r>
            <w:r w:rsidRPr="00417883">
              <w:rPr>
                <w:color w:val="000000"/>
                <w:sz w:val="24"/>
                <w:szCs w:val="24"/>
              </w:rPr>
              <w:t xml:space="preserve"> бути в межах не гірше:</w:t>
            </w:r>
          </w:p>
          <w:p w:rsidR="00F723DD" w:rsidRPr="00417883" w:rsidRDefault="00F723DD" w:rsidP="00A13304">
            <w:pPr>
              <w:spacing w:line="288" w:lineRule="auto"/>
              <w:rPr>
                <w:sz w:val="24"/>
                <w:szCs w:val="24"/>
              </w:rPr>
            </w:pPr>
            <w:r w:rsidRPr="00417883">
              <w:rPr>
                <w:sz w:val="24"/>
                <w:szCs w:val="24"/>
              </w:rPr>
              <w:t>WBC - 0 - 200 х 10</w:t>
            </w:r>
            <w:r w:rsidRPr="00417883">
              <w:rPr>
                <w:sz w:val="24"/>
                <w:szCs w:val="24"/>
                <w:vertAlign w:val="superscript"/>
              </w:rPr>
              <w:t>9</w:t>
            </w:r>
            <w:r w:rsidRPr="00417883">
              <w:rPr>
                <w:sz w:val="24"/>
                <w:szCs w:val="24"/>
              </w:rPr>
              <w:t>/Л</w:t>
            </w:r>
          </w:p>
          <w:p w:rsidR="00F723DD" w:rsidRPr="00417883" w:rsidRDefault="00F723DD" w:rsidP="00A13304">
            <w:pPr>
              <w:spacing w:line="288" w:lineRule="auto"/>
              <w:rPr>
                <w:sz w:val="24"/>
                <w:szCs w:val="24"/>
              </w:rPr>
            </w:pPr>
            <w:r w:rsidRPr="00417883">
              <w:rPr>
                <w:sz w:val="24"/>
                <w:szCs w:val="24"/>
              </w:rPr>
              <w:t>RBC - 0 – 8,0 х 10</w:t>
            </w:r>
            <w:r w:rsidRPr="00417883">
              <w:rPr>
                <w:sz w:val="24"/>
                <w:szCs w:val="24"/>
                <w:vertAlign w:val="superscript"/>
              </w:rPr>
              <w:t>12</w:t>
            </w:r>
            <w:r w:rsidRPr="00417883">
              <w:rPr>
                <w:sz w:val="24"/>
                <w:szCs w:val="24"/>
              </w:rPr>
              <w:t>/Л</w:t>
            </w:r>
          </w:p>
          <w:p w:rsidR="00F723DD" w:rsidRPr="00417883" w:rsidRDefault="00F723DD" w:rsidP="00A13304">
            <w:pPr>
              <w:spacing w:line="288" w:lineRule="auto"/>
              <w:rPr>
                <w:sz w:val="24"/>
                <w:szCs w:val="24"/>
              </w:rPr>
            </w:pPr>
            <w:r w:rsidRPr="00417883">
              <w:rPr>
                <w:sz w:val="24"/>
                <w:szCs w:val="24"/>
              </w:rPr>
              <w:t>HGB - 0 - 280 г/Л</w:t>
            </w:r>
          </w:p>
          <w:p w:rsidR="00F723DD" w:rsidRDefault="00F723DD" w:rsidP="00A13304">
            <w:pPr>
              <w:rPr>
                <w:sz w:val="24"/>
                <w:szCs w:val="24"/>
              </w:rPr>
            </w:pPr>
            <w:r w:rsidRPr="00417883">
              <w:rPr>
                <w:sz w:val="24"/>
                <w:szCs w:val="24"/>
              </w:rPr>
              <w:t>PLT - 0 – 4 000 х 10</w:t>
            </w:r>
            <w:r w:rsidRPr="00417883">
              <w:rPr>
                <w:sz w:val="24"/>
                <w:szCs w:val="24"/>
                <w:vertAlign w:val="superscript"/>
              </w:rPr>
              <w:t>9</w:t>
            </w:r>
            <w:r w:rsidRPr="00417883">
              <w:rPr>
                <w:sz w:val="24"/>
                <w:szCs w:val="24"/>
              </w:rPr>
              <w:t>/Л</w:t>
            </w:r>
          </w:p>
          <w:p w:rsidR="00F723DD" w:rsidRPr="004D6B25" w:rsidRDefault="00F723DD" w:rsidP="00A13304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HTC – 0-67%</w:t>
            </w:r>
          </w:p>
        </w:tc>
        <w:tc>
          <w:tcPr>
            <w:tcW w:w="3009" w:type="dxa"/>
          </w:tcPr>
          <w:p w:rsidR="00F723DD" w:rsidRPr="00AE3D16" w:rsidRDefault="00F723DD" w:rsidP="00A13304">
            <w:pPr>
              <w:jc w:val="center"/>
              <w:rPr>
                <w:sz w:val="24"/>
                <w:szCs w:val="24"/>
              </w:rPr>
            </w:pPr>
          </w:p>
        </w:tc>
      </w:tr>
      <w:tr w:rsidR="00F723DD" w:rsidRPr="00AE3D16" w:rsidTr="00A13304">
        <w:trPr>
          <w:trHeight w:val="689"/>
        </w:trPr>
        <w:tc>
          <w:tcPr>
            <w:tcW w:w="989" w:type="dxa"/>
          </w:tcPr>
          <w:p w:rsidR="00F723DD" w:rsidRPr="00AE3D16" w:rsidRDefault="00F723DD" w:rsidP="00B42C54">
            <w:pPr>
              <w:numPr>
                <w:ilvl w:val="0"/>
                <w:numId w:val="1"/>
              </w:numPr>
              <w:spacing w:after="0" w:line="240" w:lineRule="auto"/>
              <w:ind w:left="73"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</w:tcPr>
          <w:p w:rsidR="00F723DD" w:rsidRPr="00AE3D16" w:rsidRDefault="00F723DD" w:rsidP="00A13304">
            <w:pPr>
              <w:spacing w:line="288" w:lineRule="auto"/>
              <w:rPr>
                <w:sz w:val="24"/>
                <w:szCs w:val="24"/>
              </w:rPr>
            </w:pPr>
            <w:r w:rsidRPr="00AE3D16">
              <w:rPr>
                <w:sz w:val="24"/>
                <w:szCs w:val="24"/>
              </w:rPr>
              <w:t xml:space="preserve">Відтворюваність (в діапазоні), </w:t>
            </w:r>
            <w:r>
              <w:rPr>
                <w:sz w:val="24"/>
                <w:szCs w:val="24"/>
              </w:rPr>
              <w:t xml:space="preserve">за умови цільної крові </w:t>
            </w:r>
            <w:r w:rsidRPr="00AE3D16">
              <w:rPr>
                <w:sz w:val="24"/>
                <w:szCs w:val="24"/>
              </w:rPr>
              <w:t>не гірше:</w:t>
            </w:r>
          </w:p>
          <w:p w:rsidR="00F723DD" w:rsidRPr="00AE3D16" w:rsidRDefault="00F723DD" w:rsidP="00A13304">
            <w:pPr>
              <w:spacing w:line="288" w:lineRule="auto"/>
              <w:rPr>
                <w:sz w:val="24"/>
                <w:szCs w:val="24"/>
              </w:rPr>
            </w:pPr>
            <w:r w:rsidRPr="00AE3D16">
              <w:rPr>
                <w:sz w:val="24"/>
                <w:szCs w:val="24"/>
              </w:rPr>
              <w:t>WBC - ≤ 3,5 % (4,0 – 6,9) х 10</w:t>
            </w:r>
            <w:r w:rsidRPr="00AE3D16">
              <w:rPr>
                <w:sz w:val="24"/>
                <w:szCs w:val="24"/>
                <w:vertAlign w:val="superscript"/>
              </w:rPr>
              <w:t>9</w:t>
            </w:r>
            <w:r w:rsidRPr="00AE3D16">
              <w:rPr>
                <w:sz w:val="24"/>
                <w:szCs w:val="24"/>
              </w:rPr>
              <w:t>/Л</w:t>
            </w:r>
          </w:p>
          <w:p w:rsidR="00F723DD" w:rsidRPr="00AE3D16" w:rsidRDefault="00F723DD" w:rsidP="00A13304">
            <w:pPr>
              <w:spacing w:line="288" w:lineRule="auto"/>
              <w:rPr>
                <w:sz w:val="24"/>
                <w:szCs w:val="24"/>
              </w:rPr>
            </w:pPr>
            <w:r w:rsidRPr="00AE3D16">
              <w:rPr>
                <w:sz w:val="24"/>
                <w:szCs w:val="24"/>
              </w:rPr>
              <w:t xml:space="preserve">             ≤ 2,0 % (7,0 – 15,0) х 10</w:t>
            </w:r>
            <w:r w:rsidRPr="00AE3D16">
              <w:rPr>
                <w:sz w:val="24"/>
                <w:szCs w:val="24"/>
                <w:vertAlign w:val="superscript"/>
              </w:rPr>
              <w:t>9</w:t>
            </w:r>
            <w:r w:rsidRPr="00AE3D16">
              <w:rPr>
                <w:sz w:val="24"/>
                <w:szCs w:val="24"/>
              </w:rPr>
              <w:t>/Л</w:t>
            </w:r>
          </w:p>
          <w:p w:rsidR="00F723DD" w:rsidRPr="00AE3D16" w:rsidRDefault="00F723DD" w:rsidP="00A13304">
            <w:pPr>
              <w:spacing w:line="288" w:lineRule="auto"/>
              <w:rPr>
                <w:sz w:val="24"/>
                <w:szCs w:val="24"/>
              </w:rPr>
            </w:pPr>
            <w:r w:rsidRPr="00AE3D16">
              <w:rPr>
                <w:sz w:val="24"/>
                <w:szCs w:val="24"/>
              </w:rPr>
              <w:t>RBC - ≤ 1,5 % (3,5 – 6,5) х 10</w:t>
            </w:r>
            <w:r w:rsidRPr="00AE3D16">
              <w:rPr>
                <w:sz w:val="24"/>
                <w:szCs w:val="24"/>
                <w:vertAlign w:val="superscript"/>
              </w:rPr>
              <w:t>12</w:t>
            </w:r>
            <w:r w:rsidRPr="00AE3D16">
              <w:rPr>
                <w:sz w:val="24"/>
                <w:szCs w:val="24"/>
              </w:rPr>
              <w:t>/Л</w:t>
            </w:r>
          </w:p>
          <w:p w:rsidR="00F723DD" w:rsidRPr="00AE3D16" w:rsidRDefault="00F723DD" w:rsidP="00A13304">
            <w:pPr>
              <w:spacing w:line="288" w:lineRule="auto"/>
              <w:rPr>
                <w:sz w:val="24"/>
                <w:szCs w:val="24"/>
              </w:rPr>
            </w:pPr>
            <w:r w:rsidRPr="00AE3D16">
              <w:rPr>
                <w:sz w:val="24"/>
                <w:szCs w:val="24"/>
              </w:rPr>
              <w:t xml:space="preserve">HGB - ≤ 1,5 % (100 – 180) х </w:t>
            </w:r>
            <w:r>
              <w:rPr>
                <w:sz w:val="24"/>
                <w:szCs w:val="24"/>
              </w:rPr>
              <w:t>г</w:t>
            </w:r>
            <w:r w:rsidRPr="00AE3D16">
              <w:rPr>
                <w:sz w:val="24"/>
                <w:szCs w:val="24"/>
              </w:rPr>
              <w:t>/Л</w:t>
            </w:r>
          </w:p>
          <w:p w:rsidR="00F723DD" w:rsidRPr="00AE3D16" w:rsidRDefault="00F723DD" w:rsidP="00A13304">
            <w:pPr>
              <w:spacing w:line="288" w:lineRule="auto"/>
              <w:rPr>
                <w:sz w:val="24"/>
                <w:szCs w:val="24"/>
              </w:rPr>
            </w:pPr>
            <w:r w:rsidRPr="00AE3D16">
              <w:rPr>
                <w:sz w:val="24"/>
                <w:szCs w:val="24"/>
              </w:rPr>
              <w:t xml:space="preserve">MCV - ≤ 1,0 % (70 – 110) </w:t>
            </w:r>
            <w:r>
              <w:rPr>
                <w:sz w:val="24"/>
                <w:szCs w:val="24"/>
              </w:rPr>
              <w:t>фл</w:t>
            </w:r>
          </w:p>
          <w:p w:rsidR="00F723DD" w:rsidRPr="00AE3D16" w:rsidRDefault="00F723DD" w:rsidP="00A13304">
            <w:pPr>
              <w:rPr>
                <w:sz w:val="24"/>
                <w:szCs w:val="24"/>
              </w:rPr>
            </w:pPr>
            <w:r w:rsidRPr="00AE3D16">
              <w:rPr>
                <w:sz w:val="24"/>
                <w:szCs w:val="24"/>
              </w:rPr>
              <w:t>PLT - ≤ 5,0 % (100 – 149)  х 10</w:t>
            </w:r>
            <w:r w:rsidRPr="00AE3D16">
              <w:rPr>
                <w:sz w:val="24"/>
                <w:szCs w:val="24"/>
                <w:vertAlign w:val="superscript"/>
              </w:rPr>
              <w:t>9</w:t>
            </w:r>
            <w:r w:rsidRPr="00AE3D16">
              <w:rPr>
                <w:sz w:val="24"/>
                <w:szCs w:val="24"/>
              </w:rPr>
              <w:t>/Л</w:t>
            </w:r>
          </w:p>
          <w:p w:rsidR="00F723DD" w:rsidRPr="00AE3D16" w:rsidRDefault="00F723DD" w:rsidP="00A13304">
            <w:pPr>
              <w:rPr>
                <w:color w:val="000000"/>
                <w:sz w:val="24"/>
                <w:szCs w:val="24"/>
              </w:rPr>
            </w:pPr>
            <w:r w:rsidRPr="00AE3D16">
              <w:rPr>
                <w:sz w:val="24"/>
                <w:szCs w:val="24"/>
              </w:rPr>
              <w:t xml:space="preserve">          ≤ 4,0 % (150 – 500) х 10</w:t>
            </w:r>
            <w:r w:rsidRPr="00AE3D16">
              <w:rPr>
                <w:sz w:val="24"/>
                <w:szCs w:val="24"/>
                <w:vertAlign w:val="superscript"/>
              </w:rPr>
              <w:t>9</w:t>
            </w:r>
            <w:r w:rsidRPr="00AE3D16">
              <w:rPr>
                <w:sz w:val="24"/>
                <w:szCs w:val="24"/>
              </w:rPr>
              <w:t>/Л</w:t>
            </w:r>
          </w:p>
        </w:tc>
        <w:tc>
          <w:tcPr>
            <w:tcW w:w="3009" w:type="dxa"/>
          </w:tcPr>
          <w:p w:rsidR="00F723DD" w:rsidRPr="00AE3D16" w:rsidRDefault="00F723DD" w:rsidP="00A1330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723DD" w:rsidRPr="00AE3D16" w:rsidTr="00A13304">
        <w:trPr>
          <w:trHeight w:val="689"/>
        </w:trPr>
        <w:tc>
          <w:tcPr>
            <w:tcW w:w="989" w:type="dxa"/>
          </w:tcPr>
          <w:p w:rsidR="00F723DD" w:rsidRPr="00AE3D16" w:rsidRDefault="00F723DD" w:rsidP="00B42C54">
            <w:pPr>
              <w:numPr>
                <w:ilvl w:val="0"/>
                <w:numId w:val="1"/>
              </w:numPr>
              <w:spacing w:after="0" w:line="240" w:lineRule="auto"/>
              <w:ind w:left="73"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</w:tcPr>
          <w:p w:rsidR="00F723DD" w:rsidRPr="00AE3D16" w:rsidRDefault="00F723DD" w:rsidP="00A13304">
            <w:pPr>
              <w:spacing w:line="288" w:lineRule="auto"/>
              <w:rPr>
                <w:sz w:val="24"/>
                <w:szCs w:val="24"/>
              </w:rPr>
            </w:pPr>
            <w:r w:rsidRPr="00AE3D16">
              <w:rPr>
                <w:sz w:val="24"/>
                <w:szCs w:val="24"/>
              </w:rPr>
              <w:t>Перенос, не більше:</w:t>
            </w:r>
          </w:p>
          <w:p w:rsidR="00F723DD" w:rsidRPr="00AE3D16" w:rsidRDefault="00F723DD" w:rsidP="00A13304">
            <w:pPr>
              <w:spacing w:line="288" w:lineRule="auto"/>
              <w:rPr>
                <w:sz w:val="24"/>
                <w:szCs w:val="24"/>
              </w:rPr>
            </w:pPr>
            <w:r w:rsidRPr="00AE3D16">
              <w:rPr>
                <w:sz w:val="24"/>
                <w:szCs w:val="24"/>
              </w:rPr>
              <w:t>WBC - ≤ 0,5 %</w:t>
            </w:r>
          </w:p>
          <w:p w:rsidR="00F723DD" w:rsidRPr="00AE3D16" w:rsidRDefault="00F723DD" w:rsidP="00A13304">
            <w:pPr>
              <w:spacing w:line="288" w:lineRule="auto"/>
              <w:rPr>
                <w:sz w:val="24"/>
                <w:szCs w:val="24"/>
              </w:rPr>
            </w:pPr>
            <w:r w:rsidRPr="00AE3D16">
              <w:rPr>
                <w:sz w:val="24"/>
                <w:szCs w:val="24"/>
              </w:rPr>
              <w:t xml:space="preserve">RBC - ≤ 0,5 % </w:t>
            </w:r>
          </w:p>
          <w:p w:rsidR="00F723DD" w:rsidRPr="00AE3D16" w:rsidRDefault="00F723DD" w:rsidP="00A13304">
            <w:pPr>
              <w:spacing w:line="288" w:lineRule="auto"/>
              <w:rPr>
                <w:sz w:val="24"/>
                <w:szCs w:val="24"/>
              </w:rPr>
            </w:pPr>
            <w:r w:rsidRPr="00AE3D16">
              <w:rPr>
                <w:sz w:val="24"/>
                <w:szCs w:val="24"/>
              </w:rPr>
              <w:t xml:space="preserve">HGB - ≤ 0,5 % </w:t>
            </w:r>
          </w:p>
          <w:p w:rsidR="00F723DD" w:rsidRPr="00AE3D16" w:rsidRDefault="00F723DD" w:rsidP="00A13304">
            <w:pPr>
              <w:rPr>
                <w:sz w:val="24"/>
                <w:szCs w:val="24"/>
              </w:rPr>
            </w:pPr>
            <w:r w:rsidRPr="00AE3D16">
              <w:rPr>
                <w:sz w:val="24"/>
                <w:szCs w:val="24"/>
              </w:rPr>
              <w:t xml:space="preserve">PLT - ≤ 1,0 % </w:t>
            </w:r>
          </w:p>
        </w:tc>
        <w:tc>
          <w:tcPr>
            <w:tcW w:w="3009" w:type="dxa"/>
          </w:tcPr>
          <w:p w:rsidR="00F723DD" w:rsidRPr="00AE3D16" w:rsidRDefault="00F723DD" w:rsidP="00A1330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723DD" w:rsidRPr="00AE3D16" w:rsidTr="00A13304">
        <w:trPr>
          <w:trHeight w:val="549"/>
        </w:trPr>
        <w:tc>
          <w:tcPr>
            <w:tcW w:w="989" w:type="dxa"/>
          </w:tcPr>
          <w:p w:rsidR="00F723DD" w:rsidRPr="00AE3D16" w:rsidRDefault="00F723DD" w:rsidP="00B42C54">
            <w:pPr>
              <w:numPr>
                <w:ilvl w:val="0"/>
                <w:numId w:val="1"/>
              </w:numPr>
              <w:spacing w:after="0" w:line="240" w:lineRule="auto"/>
              <w:ind w:left="73"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</w:tcPr>
          <w:p w:rsidR="00F723DD" w:rsidRPr="00AE3D16" w:rsidRDefault="00F723DD" w:rsidP="00A13304">
            <w:pPr>
              <w:rPr>
                <w:color w:val="000000"/>
                <w:sz w:val="24"/>
                <w:szCs w:val="24"/>
              </w:rPr>
            </w:pPr>
            <w:r w:rsidRPr="00AE3D16">
              <w:rPr>
                <w:color w:val="000000"/>
                <w:sz w:val="24"/>
                <w:szCs w:val="24"/>
              </w:rPr>
              <w:t>Аналізатор повинен мати функцію флагування патологічних показників</w:t>
            </w:r>
          </w:p>
        </w:tc>
        <w:tc>
          <w:tcPr>
            <w:tcW w:w="3009" w:type="dxa"/>
          </w:tcPr>
          <w:p w:rsidR="00F723DD" w:rsidRPr="00AE3D16" w:rsidRDefault="00F723DD" w:rsidP="00A1330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723DD" w:rsidRPr="00AE3D16" w:rsidTr="00A13304">
        <w:trPr>
          <w:trHeight w:val="827"/>
        </w:trPr>
        <w:tc>
          <w:tcPr>
            <w:tcW w:w="989" w:type="dxa"/>
          </w:tcPr>
          <w:p w:rsidR="00F723DD" w:rsidRPr="00AE3D16" w:rsidRDefault="00F723DD" w:rsidP="00B42C54">
            <w:pPr>
              <w:numPr>
                <w:ilvl w:val="0"/>
                <w:numId w:val="1"/>
              </w:numPr>
              <w:spacing w:after="0" w:line="240" w:lineRule="auto"/>
              <w:ind w:left="73"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</w:tcPr>
          <w:p w:rsidR="00F723DD" w:rsidRPr="00AE3D16" w:rsidRDefault="00F723DD" w:rsidP="00A13304">
            <w:pPr>
              <w:rPr>
                <w:color w:val="000000"/>
                <w:sz w:val="24"/>
                <w:szCs w:val="24"/>
              </w:rPr>
            </w:pPr>
            <w:r w:rsidRPr="00AE3D16">
              <w:rPr>
                <w:color w:val="000000"/>
                <w:sz w:val="24"/>
                <w:szCs w:val="24"/>
              </w:rPr>
              <w:t>Об’єм проби крові необхідний для проведення аналізу повинен становити не більше 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E3D16">
              <w:rPr>
                <w:color w:val="000000"/>
                <w:sz w:val="24"/>
                <w:szCs w:val="24"/>
              </w:rPr>
              <w:t>мкл для цільної крові та не більше 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E3D16">
              <w:rPr>
                <w:color w:val="000000"/>
                <w:sz w:val="24"/>
                <w:szCs w:val="24"/>
              </w:rPr>
              <w:t>мкл для розведеної крові</w:t>
            </w:r>
          </w:p>
        </w:tc>
        <w:tc>
          <w:tcPr>
            <w:tcW w:w="3009" w:type="dxa"/>
          </w:tcPr>
          <w:p w:rsidR="00F723DD" w:rsidRPr="00AE3D16" w:rsidRDefault="00F723DD" w:rsidP="00A1330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723DD" w:rsidRPr="00AE3D16" w:rsidTr="00A13304">
        <w:trPr>
          <w:trHeight w:val="546"/>
        </w:trPr>
        <w:tc>
          <w:tcPr>
            <w:tcW w:w="989" w:type="dxa"/>
          </w:tcPr>
          <w:p w:rsidR="00F723DD" w:rsidRPr="00AE3D16" w:rsidRDefault="00F723DD" w:rsidP="00B42C54">
            <w:pPr>
              <w:numPr>
                <w:ilvl w:val="0"/>
                <w:numId w:val="1"/>
              </w:numPr>
              <w:spacing w:after="0" w:line="240" w:lineRule="auto"/>
              <w:ind w:left="73"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</w:tcPr>
          <w:p w:rsidR="00F723DD" w:rsidRPr="00AE3D16" w:rsidRDefault="00F723DD" w:rsidP="00A13304">
            <w:pPr>
              <w:rPr>
                <w:color w:val="000000"/>
                <w:sz w:val="24"/>
                <w:szCs w:val="24"/>
              </w:rPr>
            </w:pPr>
            <w:r w:rsidRPr="00AE3D16">
              <w:rPr>
                <w:color w:val="000000"/>
                <w:sz w:val="24"/>
                <w:szCs w:val="24"/>
              </w:rPr>
              <w:t>Аналізатор повинен мати можливість роботи з відкритими пробірками</w:t>
            </w:r>
          </w:p>
        </w:tc>
        <w:tc>
          <w:tcPr>
            <w:tcW w:w="3009" w:type="dxa"/>
          </w:tcPr>
          <w:p w:rsidR="00F723DD" w:rsidRPr="00AE3D16" w:rsidRDefault="00F723DD" w:rsidP="00A1330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723DD" w:rsidRPr="00AE3D16" w:rsidTr="00A13304">
        <w:trPr>
          <w:trHeight w:val="546"/>
        </w:trPr>
        <w:tc>
          <w:tcPr>
            <w:tcW w:w="989" w:type="dxa"/>
          </w:tcPr>
          <w:p w:rsidR="00F723DD" w:rsidRPr="00AE3D16" w:rsidRDefault="00F723DD" w:rsidP="00B42C54">
            <w:pPr>
              <w:numPr>
                <w:ilvl w:val="0"/>
                <w:numId w:val="1"/>
              </w:numPr>
              <w:spacing w:after="0" w:line="240" w:lineRule="auto"/>
              <w:ind w:left="73"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</w:tcPr>
          <w:p w:rsidR="00F723DD" w:rsidRPr="00AE3D16" w:rsidRDefault="00F723DD" w:rsidP="00A13304">
            <w:pPr>
              <w:rPr>
                <w:color w:val="000000"/>
                <w:sz w:val="24"/>
                <w:szCs w:val="24"/>
              </w:rPr>
            </w:pPr>
            <w:r w:rsidRPr="00AE3D16">
              <w:rPr>
                <w:color w:val="000000"/>
                <w:sz w:val="24"/>
                <w:szCs w:val="24"/>
              </w:rPr>
              <w:t>Аналізатор повинен використовувати не більше двох реагентів та не більше одного промивного розчину</w:t>
            </w:r>
          </w:p>
        </w:tc>
        <w:tc>
          <w:tcPr>
            <w:tcW w:w="3009" w:type="dxa"/>
          </w:tcPr>
          <w:p w:rsidR="00F723DD" w:rsidRPr="00AE3D16" w:rsidRDefault="00F723DD" w:rsidP="00A1330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723DD" w:rsidRPr="00AE3D16" w:rsidTr="00A13304">
        <w:trPr>
          <w:trHeight w:val="273"/>
        </w:trPr>
        <w:tc>
          <w:tcPr>
            <w:tcW w:w="989" w:type="dxa"/>
          </w:tcPr>
          <w:p w:rsidR="00F723DD" w:rsidRPr="00AE3D16" w:rsidRDefault="00F723DD" w:rsidP="00B42C54">
            <w:pPr>
              <w:numPr>
                <w:ilvl w:val="0"/>
                <w:numId w:val="1"/>
              </w:numPr>
              <w:spacing w:after="0" w:line="240" w:lineRule="auto"/>
              <w:ind w:left="73"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</w:tcPr>
          <w:p w:rsidR="00F723DD" w:rsidRPr="00AE3D16" w:rsidRDefault="00F723DD" w:rsidP="00A13304">
            <w:pPr>
              <w:rPr>
                <w:color w:val="000000"/>
                <w:sz w:val="24"/>
                <w:szCs w:val="24"/>
              </w:rPr>
            </w:pPr>
            <w:r w:rsidRPr="00AE3D16">
              <w:rPr>
                <w:color w:val="000000"/>
                <w:sz w:val="24"/>
                <w:szCs w:val="24"/>
              </w:rPr>
              <w:t>Аналізатор повинен підтримувати автоматичний забір проби</w:t>
            </w:r>
          </w:p>
        </w:tc>
        <w:tc>
          <w:tcPr>
            <w:tcW w:w="3009" w:type="dxa"/>
          </w:tcPr>
          <w:p w:rsidR="00F723DD" w:rsidRPr="00AE3D16" w:rsidRDefault="00F723DD" w:rsidP="00A1330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723DD" w:rsidRPr="00AE3D16" w:rsidTr="00A13304">
        <w:trPr>
          <w:trHeight w:val="546"/>
        </w:trPr>
        <w:tc>
          <w:tcPr>
            <w:tcW w:w="989" w:type="dxa"/>
          </w:tcPr>
          <w:p w:rsidR="00F723DD" w:rsidRPr="00AE3D16" w:rsidRDefault="00F723DD" w:rsidP="00B42C54">
            <w:pPr>
              <w:numPr>
                <w:ilvl w:val="0"/>
                <w:numId w:val="1"/>
              </w:numPr>
              <w:spacing w:after="0" w:line="240" w:lineRule="auto"/>
              <w:ind w:left="73"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</w:tcPr>
          <w:p w:rsidR="00F723DD" w:rsidRPr="00AE3D16" w:rsidRDefault="00F723DD" w:rsidP="00A13304">
            <w:pPr>
              <w:rPr>
                <w:color w:val="000000"/>
                <w:sz w:val="24"/>
                <w:szCs w:val="24"/>
              </w:rPr>
            </w:pPr>
            <w:r w:rsidRPr="00AE3D16">
              <w:rPr>
                <w:color w:val="000000"/>
                <w:sz w:val="24"/>
                <w:szCs w:val="24"/>
              </w:rPr>
              <w:t>Аналізатор повинен мати сенсорний кольоров</w:t>
            </w:r>
            <w:r>
              <w:rPr>
                <w:color w:val="000000"/>
                <w:sz w:val="24"/>
                <w:szCs w:val="24"/>
              </w:rPr>
              <w:t>ий дисплей розміром не менше 10˝</w:t>
            </w:r>
            <w:r w:rsidRPr="00AE3D16">
              <w:rPr>
                <w:color w:val="000000"/>
                <w:sz w:val="24"/>
                <w:szCs w:val="24"/>
              </w:rPr>
              <w:t xml:space="preserve"> з графічним та цифровим відображенням результатів досліджень</w:t>
            </w:r>
          </w:p>
        </w:tc>
        <w:tc>
          <w:tcPr>
            <w:tcW w:w="3009" w:type="dxa"/>
          </w:tcPr>
          <w:p w:rsidR="00F723DD" w:rsidRPr="00AE3D16" w:rsidRDefault="00F723DD" w:rsidP="00A1330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723DD" w:rsidRPr="00AE3D16" w:rsidTr="00A13304">
        <w:trPr>
          <w:trHeight w:val="546"/>
        </w:trPr>
        <w:tc>
          <w:tcPr>
            <w:tcW w:w="989" w:type="dxa"/>
          </w:tcPr>
          <w:p w:rsidR="00F723DD" w:rsidRPr="00AE3D16" w:rsidRDefault="00F723DD" w:rsidP="00B42C54">
            <w:pPr>
              <w:numPr>
                <w:ilvl w:val="0"/>
                <w:numId w:val="1"/>
              </w:numPr>
              <w:spacing w:after="0" w:line="240" w:lineRule="auto"/>
              <w:ind w:left="73"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</w:tcPr>
          <w:p w:rsidR="00F723DD" w:rsidRPr="00AE3D16" w:rsidRDefault="00F723DD" w:rsidP="00A13304">
            <w:pPr>
              <w:rPr>
                <w:color w:val="000000"/>
                <w:sz w:val="24"/>
                <w:szCs w:val="24"/>
              </w:rPr>
            </w:pPr>
            <w:r w:rsidRPr="00AE3D16">
              <w:rPr>
                <w:color w:val="000000"/>
                <w:sz w:val="24"/>
                <w:szCs w:val="24"/>
              </w:rPr>
              <w:t>Аналізатор повинен</w:t>
            </w:r>
            <w:r w:rsidRPr="0046057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здійснювати г</w:t>
            </w:r>
            <w:r w:rsidRPr="00460574">
              <w:rPr>
                <w:lang w:eastAsia="en-US"/>
              </w:rPr>
              <w:t>рафічне та цифрове відображення результатів досліджень на дисплеї</w:t>
            </w:r>
          </w:p>
        </w:tc>
        <w:tc>
          <w:tcPr>
            <w:tcW w:w="3009" w:type="dxa"/>
          </w:tcPr>
          <w:p w:rsidR="00F723DD" w:rsidRPr="00AE3D16" w:rsidRDefault="00F723DD" w:rsidP="00A1330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723DD" w:rsidRPr="00AE3D16" w:rsidTr="00A13304">
        <w:trPr>
          <w:trHeight w:val="838"/>
        </w:trPr>
        <w:tc>
          <w:tcPr>
            <w:tcW w:w="989" w:type="dxa"/>
          </w:tcPr>
          <w:p w:rsidR="00F723DD" w:rsidRPr="00AE3D16" w:rsidRDefault="00F723DD" w:rsidP="00B42C54">
            <w:pPr>
              <w:numPr>
                <w:ilvl w:val="0"/>
                <w:numId w:val="1"/>
              </w:numPr>
              <w:spacing w:after="0" w:line="240" w:lineRule="auto"/>
              <w:ind w:left="73"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</w:tcPr>
          <w:p w:rsidR="00F723DD" w:rsidRPr="00AE3D16" w:rsidRDefault="00F723DD" w:rsidP="00A13304">
            <w:pPr>
              <w:rPr>
                <w:color w:val="000000"/>
                <w:sz w:val="24"/>
                <w:szCs w:val="24"/>
              </w:rPr>
            </w:pPr>
            <w:r w:rsidRPr="00AE3D16">
              <w:rPr>
                <w:color w:val="000000"/>
                <w:sz w:val="24"/>
                <w:szCs w:val="24"/>
              </w:rPr>
              <w:t>Пам’ять аналізат</w:t>
            </w:r>
            <w:r>
              <w:rPr>
                <w:color w:val="000000"/>
                <w:sz w:val="24"/>
                <w:szCs w:val="24"/>
              </w:rPr>
              <w:t>ора повинна становити не менше 5</w:t>
            </w:r>
            <w:r w:rsidRPr="00AE3D16">
              <w:rPr>
                <w:color w:val="000000"/>
                <w:sz w:val="24"/>
                <w:szCs w:val="24"/>
              </w:rPr>
              <w:t>00 000 результатів з збереженням персональних даних пацієнта та гістограм</w:t>
            </w:r>
          </w:p>
        </w:tc>
        <w:tc>
          <w:tcPr>
            <w:tcW w:w="3009" w:type="dxa"/>
          </w:tcPr>
          <w:p w:rsidR="00F723DD" w:rsidRPr="00AE3D16" w:rsidRDefault="00F723DD" w:rsidP="00A1330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723DD" w:rsidRPr="00AE3D16" w:rsidTr="00A13304">
        <w:trPr>
          <w:trHeight w:val="830"/>
        </w:trPr>
        <w:tc>
          <w:tcPr>
            <w:tcW w:w="989" w:type="dxa"/>
          </w:tcPr>
          <w:p w:rsidR="00F723DD" w:rsidRPr="00AE3D16" w:rsidRDefault="00F723DD" w:rsidP="00B42C54">
            <w:pPr>
              <w:numPr>
                <w:ilvl w:val="0"/>
                <w:numId w:val="1"/>
              </w:numPr>
              <w:spacing w:after="0" w:line="240" w:lineRule="auto"/>
              <w:ind w:left="73"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</w:tcPr>
          <w:p w:rsidR="00F723DD" w:rsidRPr="00AE3D16" w:rsidRDefault="00F723DD" w:rsidP="00A13304">
            <w:pPr>
              <w:rPr>
                <w:color w:val="000000"/>
                <w:sz w:val="24"/>
                <w:szCs w:val="24"/>
              </w:rPr>
            </w:pPr>
            <w:r w:rsidRPr="00AE3D16">
              <w:rPr>
                <w:color w:val="000000"/>
                <w:sz w:val="24"/>
                <w:szCs w:val="24"/>
              </w:rPr>
              <w:t>Аналізатор повинен мати вбудований термопринтер з обов’язковою можливістю виведення результатів та графіків на дру</w:t>
            </w:r>
            <w:r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3009" w:type="dxa"/>
          </w:tcPr>
          <w:p w:rsidR="00F723DD" w:rsidRPr="00AE3D16" w:rsidRDefault="00F723DD" w:rsidP="00A1330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723DD" w:rsidRPr="00AE3D16" w:rsidTr="00A13304">
        <w:trPr>
          <w:trHeight w:val="830"/>
        </w:trPr>
        <w:tc>
          <w:tcPr>
            <w:tcW w:w="989" w:type="dxa"/>
          </w:tcPr>
          <w:p w:rsidR="00F723DD" w:rsidRPr="00AE3D16" w:rsidRDefault="00F723DD" w:rsidP="00B42C54">
            <w:pPr>
              <w:numPr>
                <w:ilvl w:val="0"/>
                <w:numId w:val="1"/>
              </w:numPr>
              <w:spacing w:after="0" w:line="240" w:lineRule="auto"/>
              <w:ind w:left="73"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</w:tcPr>
          <w:p w:rsidR="00F723DD" w:rsidRPr="00FF54EF" w:rsidRDefault="00F723DD" w:rsidP="00A1330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F54EF">
              <w:rPr>
                <w:sz w:val="24"/>
                <w:szCs w:val="24"/>
              </w:rPr>
              <w:t xml:space="preserve">Аналізатор повинен мати </w:t>
            </w:r>
            <w:r>
              <w:rPr>
                <w:sz w:val="24"/>
                <w:szCs w:val="24"/>
              </w:rPr>
              <w:t>ш</w:t>
            </w:r>
            <w:r w:rsidRPr="00FF54EF">
              <w:rPr>
                <w:sz w:val="24"/>
                <w:szCs w:val="24"/>
              </w:rPr>
              <w:t>ирин</w:t>
            </w:r>
            <w:r>
              <w:rPr>
                <w:sz w:val="24"/>
                <w:szCs w:val="24"/>
              </w:rPr>
              <w:t>у</w:t>
            </w:r>
            <w:r w:rsidRPr="00FF54EF">
              <w:rPr>
                <w:sz w:val="24"/>
                <w:szCs w:val="24"/>
              </w:rPr>
              <w:t xml:space="preserve"> спеціалізованого паперу для вбудованого термопринтеру</w:t>
            </w:r>
            <w:r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sz w:val="24"/>
                  <w:szCs w:val="24"/>
                </w:rPr>
                <w:t>50 мм</w:t>
              </w:r>
            </w:smartTag>
          </w:p>
        </w:tc>
        <w:tc>
          <w:tcPr>
            <w:tcW w:w="3009" w:type="dxa"/>
          </w:tcPr>
          <w:p w:rsidR="00F723DD" w:rsidRPr="00AE3D16" w:rsidRDefault="00F723DD" w:rsidP="00A1330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723DD" w:rsidRPr="00AE3D16" w:rsidTr="00A13304">
        <w:trPr>
          <w:trHeight w:val="118"/>
        </w:trPr>
        <w:tc>
          <w:tcPr>
            <w:tcW w:w="989" w:type="dxa"/>
          </w:tcPr>
          <w:p w:rsidR="00F723DD" w:rsidRPr="00AE3D16" w:rsidRDefault="00F723DD" w:rsidP="00B42C54">
            <w:pPr>
              <w:numPr>
                <w:ilvl w:val="0"/>
                <w:numId w:val="1"/>
              </w:numPr>
              <w:spacing w:after="0" w:line="240" w:lineRule="auto"/>
              <w:ind w:left="73"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</w:tcPr>
          <w:p w:rsidR="00F723DD" w:rsidRPr="00AE3D16" w:rsidRDefault="00F723DD" w:rsidP="00A13304">
            <w:pPr>
              <w:rPr>
                <w:color w:val="000000"/>
                <w:sz w:val="24"/>
                <w:szCs w:val="24"/>
              </w:rPr>
            </w:pPr>
            <w:r w:rsidRPr="00AE3D16">
              <w:rPr>
                <w:color w:val="000000"/>
                <w:sz w:val="24"/>
                <w:szCs w:val="24"/>
              </w:rPr>
              <w:t>Аналізатор повинен мати функцію автоматичної очистки апертури від згустків</w:t>
            </w:r>
          </w:p>
        </w:tc>
        <w:tc>
          <w:tcPr>
            <w:tcW w:w="3009" w:type="dxa"/>
          </w:tcPr>
          <w:p w:rsidR="00F723DD" w:rsidRPr="00AE3D16" w:rsidRDefault="00F723DD" w:rsidP="00A1330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723DD" w:rsidRPr="00AE3D16" w:rsidTr="00A13304">
        <w:trPr>
          <w:trHeight w:val="597"/>
        </w:trPr>
        <w:tc>
          <w:tcPr>
            <w:tcW w:w="989" w:type="dxa"/>
          </w:tcPr>
          <w:p w:rsidR="00F723DD" w:rsidRPr="00AE3D16" w:rsidRDefault="00F723DD" w:rsidP="00B42C54">
            <w:pPr>
              <w:numPr>
                <w:ilvl w:val="0"/>
                <w:numId w:val="1"/>
              </w:numPr>
              <w:spacing w:after="0" w:line="240" w:lineRule="auto"/>
              <w:ind w:left="73"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</w:tcPr>
          <w:p w:rsidR="00F723DD" w:rsidRPr="00AE3D16" w:rsidRDefault="00F723DD" w:rsidP="00A13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Аналізатор повинен  промиватися після кожного циклу аналізу – пробозабірник, камери, гідравлична система</w:t>
            </w:r>
          </w:p>
        </w:tc>
        <w:tc>
          <w:tcPr>
            <w:tcW w:w="3009" w:type="dxa"/>
          </w:tcPr>
          <w:p w:rsidR="00F723DD" w:rsidRPr="00AE3D16" w:rsidRDefault="00F723DD" w:rsidP="00A1330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F723DD" w:rsidRPr="00AE3D16" w:rsidTr="00A13304">
        <w:trPr>
          <w:trHeight w:val="355"/>
        </w:trPr>
        <w:tc>
          <w:tcPr>
            <w:tcW w:w="989" w:type="dxa"/>
          </w:tcPr>
          <w:p w:rsidR="00F723DD" w:rsidRPr="00AE3D16" w:rsidRDefault="00F723DD" w:rsidP="00B42C54">
            <w:pPr>
              <w:numPr>
                <w:ilvl w:val="0"/>
                <w:numId w:val="1"/>
              </w:numPr>
              <w:spacing w:after="0" w:line="240" w:lineRule="auto"/>
              <w:ind w:left="73"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</w:tcPr>
          <w:p w:rsidR="00F723DD" w:rsidRPr="00AE3D16" w:rsidRDefault="00F723DD" w:rsidP="00A13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Аналізатор повинен мати  трубки реагентів, промарковані відповідним кольором, для зручності використання</w:t>
            </w:r>
          </w:p>
        </w:tc>
        <w:tc>
          <w:tcPr>
            <w:tcW w:w="3009" w:type="dxa"/>
          </w:tcPr>
          <w:p w:rsidR="00F723DD" w:rsidRPr="00AE3D16" w:rsidRDefault="00F723DD" w:rsidP="00A1330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F723DD" w:rsidRPr="00AE3D16" w:rsidTr="00A13304">
        <w:trPr>
          <w:trHeight w:val="830"/>
        </w:trPr>
        <w:tc>
          <w:tcPr>
            <w:tcW w:w="989" w:type="dxa"/>
          </w:tcPr>
          <w:p w:rsidR="00F723DD" w:rsidRPr="00AE3D16" w:rsidRDefault="00F723DD" w:rsidP="00B42C54">
            <w:pPr>
              <w:numPr>
                <w:ilvl w:val="0"/>
                <w:numId w:val="1"/>
              </w:numPr>
              <w:spacing w:after="0" w:line="240" w:lineRule="auto"/>
              <w:ind w:left="73"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</w:tcPr>
          <w:p w:rsidR="00F723DD" w:rsidRPr="00AE3D16" w:rsidRDefault="00F723DD" w:rsidP="00A13304">
            <w:pPr>
              <w:rPr>
                <w:color w:val="000000"/>
                <w:sz w:val="24"/>
                <w:szCs w:val="24"/>
              </w:rPr>
            </w:pPr>
            <w:r w:rsidRPr="00AE3D16">
              <w:rPr>
                <w:color w:val="000000"/>
                <w:sz w:val="24"/>
                <w:szCs w:val="24"/>
              </w:rPr>
              <w:t>Аналізатор повинен мати інтегровану систему діагностики стану аналізатора та пошук пошкоджень з виведенням повідомлень про несправності на екран</w:t>
            </w:r>
          </w:p>
        </w:tc>
        <w:tc>
          <w:tcPr>
            <w:tcW w:w="3009" w:type="dxa"/>
          </w:tcPr>
          <w:p w:rsidR="00F723DD" w:rsidRPr="00AE3D16" w:rsidRDefault="00F723DD" w:rsidP="00A1330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F723DD" w:rsidRPr="00AE3D16" w:rsidTr="00A13304">
        <w:trPr>
          <w:trHeight w:val="124"/>
        </w:trPr>
        <w:tc>
          <w:tcPr>
            <w:tcW w:w="989" w:type="dxa"/>
          </w:tcPr>
          <w:p w:rsidR="00F723DD" w:rsidRPr="00AE3D16" w:rsidRDefault="00F723DD" w:rsidP="00B42C54">
            <w:pPr>
              <w:numPr>
                <w:ilvl w:val="0"/>
                <w:numId w:val="1"/>
              </w:numPr>
              <w:spacing w:after="0" w:line="240" w:lineRule="auto"/>
              <w:ind w:left="73"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</w:tcPr>
          <w:p w:rsidR="00F723DD" w:rsidRPr="00AE3D16" w:rsidRDefault="00F723DD" w:rsidP="00A13304">
            <w:pPr>
              <w:rPr>
                <w:color w:val="000000"/>
                <w:sz w:val="24"/>
                <w:szCs w:val="24"/>
              </w:rPr>
            </w:pPr>
            <w:r w:rsidRPr="00AE3D16">
              <w:rPr>
                <w:color w:val="000000"/>
                <w:sz w:val="24"/>
                <w:szCs w:val="24"/>
              </w:rPr>
              <w:t>Наявність сенсорів визначення залишків реагентів. Інформування оператора про реагент, що закінчується.</w:t>
            </w:r>
            <w:r>
              <w:rPr>
                <w:color w:val="000000"/>
                <w:sz w:val="24"/>
                <w:szCs w:val="24"/>
              </w:rPr>
              <w:t xml:space="preserve"> Коаксіальний кабель для контролю.</w:t>
            </w:r>
          </w:p>
        </w:tc>
        <w:tc>
          <w:tcPr>
            <w:tcW w:w="3009" w:type="dxa"/>
          </w:tcPr>
          <w:p w:rsidR="00F723DD" w:rsidRPr="00AE3D16" w:rsidRDefault="00F723DD" w:rsidP="00A1330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F723DD" w:rsidRPr="00AE3D16" w:rsidTr="00A13304">
        <w:trPr>
          <w:trHeight w:val="918"/>
        </w:trPr>
        <w:tc>
          <w:tcPr>
            <w:tcW w:w="989" w:type="dxa"/>
          </w:tcPr>
          <w:p w:rsidR="00F723DD" w:rsidRPr="00AE3D16" w:rsidRDefault="00F723DD" w:rsidP="00B42C54">
            <w:pPr>
              <w:numPr>
                <w:ilvl w:val="0"/>
                <w:numId w:val="1"/>
              </w:numPr>
              <w:spacing w:after="0" w:line="240" w:lineRule="auto"/>
              <w:ind w:left="73"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</w:tcPr>
          <w:p w:rsidR="00F723DD" w:rsidRPr="00AE3D16" w:rsidRDefault="00F723DD" w:rsidP="00A13304">
            <w:pPr>
              <w:rPr>
                <w:color w:val="000000"/>
                <w:sz w:val="24"/>
                <w:szCs w:val="24"/>
              </w:rPr>
            </w:pPr>
            <w:r w:rsidRPr="00AE3D16">
              <w:rPr>
                <w:color w:val="000000"/>
                <w:sz w:val="24"/>
                <w:szCs w:val="24"/>
              </w:rPr>
              <w:t>Аналізатор повинен мати вбудовану систему контролю якості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E3D1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</w:tcPr>
          <w:p w:rsidR="00F723DD" w:rsidRPr="00AE3D16" w:rsidRDefault="00F723DD" w:rsidP="00A13304">
            <w:pPr>
              <w:jc w:val="center"/>
              <w:rPr>
                <w:sz w:val="24"/>
                <w:szCs w:val="24"/>
              </w:rPr>
            </w:pPr>
          </w:p>
        </w:tc>
      </w:tr>
      <w:tr w:rsidR="00F723DD" w:rsidRPr="00AE3D16" w:rsidTr="00A13304">
        <w:trPr>
          <w:trHeight w:val="918"/>
        </w:trPr>
        <w:tc>
          <w:tcPr>
            <w:tcW w:w="989" w:type="dxa"/>
          </w:tcPr>
          <w:p w:rsidR="00F723DD" w:rsidRPr="00AE3D16" w:rsidRDefault="00F723DD" w:rsidP="00B42C54">
            <w:pPr>
              <w:numPr>
                <w:ilvl w:val="0"/>
                <w:numId w:val="1"/>
              </w:numPr>
              <w:spacing w:after="0" w:line="240" w:lineRule="auto"/>
              <w:ind w:left="73" w:hanging="77"/>
              <w:rPr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</w:tcPr>
          <w:p w:rsidR="00F723DD" w:rsidRPr="00AE3D16" w:rsidRDefault="00F723DD" w:rsidP="00A13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Аналізатор повинен мати можливість отримання результатів аналізу контроля якості у вигляді графіка або таблиці з подальшим їх друком.</w:t>
            </w:r>
          </w:p>
        </w:tc>
        <w:tc>
          <w:tcPr>
            <w:tcW w:w="3009" w:type="dxa"/>
          </w:tcPr>
          <w:p w:rsidR="00F723DD" w:rsidRDefault="00F723DD" w:rsidP="00A133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23DD" w:rsidRPr="00AE3D16" w:rsidTr="00A13304">
        <w:trPr>
          <w:trHeight w:val="547"/>
        </w:trPr>
        <w:tc>
          <w:tcPr>
            <w:tcW w:w="989" w:type="dxa"/>
          </w:tcPr>
          <w:p w:rsidR="00F723DD" w:rsidRPr="00AE3D16" w:rsidRDefault="00F723DD" w:rsidP="00B42C54">
            <w:pPr>
              <w:numPr>
                <w:ilvl w:val="0"/>
                <w:numId w:val="1"/>
              </w:numPr>
              <w:spacing w:after="0" w:line="240" w:lineRule="auto"/>
              <w:ind w:left="73"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</w:tcPr>
          <w:p w:rsidR="00F723DD" w:rsidRPr="00AE3D16" w:rsidRDefault="00F723DD" w:rsidP="00A13304">
            <w:pPr>
              <w:rPr>
                <w:color w:val="000000"/>
                <w:sz w:val="24"/>
                <w:szCs w:val="24"/>
              </w:rPr>
            </w:pPr>
            <w:r w:rsidRPr="00AE3D16">
              <w:rPr>
                <w:color w:val="000000"/>
                <w:sz w:val="24"/>
                <w:szCs w:val="24"/>
              </w:rPr>
              <w:t>Аналізатор повинен мати режими автоматичного та ручного калібрування</w:t>
            </w:r>
          </w:p>
        </w:tc>
        <w:tc>
          <w:tcPr>
            <w:tcW w:w="3009" w:type="dxa"/>
          </w:tcPr>
          <w:p w:rsidR="00F723DD" w:rsidRPr="00AE3D16" w:rsidRDefault="00F723DD" w:rsidP="00A133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23DD" w:rsidRPr="00AE3D16" w:rsidTr="00A13304">
        <w:trPr>
          <w:trHeight w:val="595"/>
        </w:trPr>
        <w:tc>
          <w:tcPr>
            <w:tcW w:w="989" w:type="dxa"/>
          </w:tcPr>
          <w:p w:rsidR="00F723DD" w:rsidRPr="00AE3D16" w:rsidRDefault="00F723DD" w:rsidP="00B42C54">
            <w:pPr>
              <w:numPr>
                <w:ilvl w:val="0"/>
                <w:numId w:val="1"/>
              </w:numPr>
              <w:spacing w:after="0" w:line="240" w:lineRule="auto"/>
              <w:ind w:left="73"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</w:tcPr>
          <w:p w:rsidR="00F723DD" w:rsidRPr="00AE3D16" w:rsidRDefault="00F723DD" w:rsidP="00A13304">
            <w:pPr>
              <w:rPr>
                <w:color w:val="000000"/>
                <w:sz w:val="24"/>
                <w:szCs w:val="24"/>
              </w:rPr>
            </w:pPr>
            <w:r w:rsidRPr="00AE3D16">
              <w:rPr>
                <w:color w:val="000000"/>
                <w:sz w:val="24"/>
                <w:szCs w:val="24"/>
              </w:rPr>
              <w:t>Аналізатор повинен підтримувати можливість інтеграції в лабораторну комп’ютерну мережу</w:t>
            </w:r>
          </w:p>
        </w:tc>
        <w:tc>
          <w:tcPr>
            <w:tcW w:w="3009" w:type="dxa"/>
          </w:tcPr>
          <w:p w:rsidR="00F723DD" w:rsidRPr="00AE3D16" w:rsidRDefault="00F723DD" w:rsidP="00A133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23DD" w:rsidRPr="00AE3D16" w:rsidTr="00A13304">
        <w:trPr>
          <w:trHeight w:val="223"/>
        </w:trPr>
        <w:tc>
          <w:tcPr>
            <w:tcW w:w="989" w:type="dxa"/>
          </w:tcPr>
          <w:p w:rsidR="00F723DD" w:rsidRPr="00AE3D16" w:rsidRDefault="00F723DD" w:rsidP="00B42C54">
            <w:pPr>
              <w:numPr>
                <w:ilvl w:val="0"/>
                <w:numId w:val="1"/>
              </w:numPr>
              <w:spacing w:after="0" w:line="240" w:lineRule="auto"/>
              <w:ind w:left="73"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</w:tcPr>
          <w:p w:rsidR="00F723DD" w:rsidRPr="00AE3D16" w:rsidRDefault="00F723DD" w:rsidP="00A13304">
            <w:pPr>
              <w:rPr>
                <w:color w:val="000000"/>
                <w:sz w:val="24"/>
                <w:szCs w:val="24"/>
              </w:rPr>
            </w:pPr>
            <w:r w:rsidRPr="00AE3D16">
              <w:rPr>
                <w:color w:val="000000"/>
                <w:sz w:val="24"/>
                <w:szCs w:val="24"/>
              </w:rPr>
              <w:t xml:space="preserve">Аналізатор повинен мати </w:t>
            </w:r>
            <w:r>
              <w:rPr>
                <w:color w:val="000000"/>
                <w:sz w:val="24"/>
                <w:szCs w:val="24"/>
              </w:rPr>
              <w:t>україномовне або</w:t>
            </w:r>
            <w:r w:rsidRPr="00AE3D16">
              <w:rPr>
                <w:color w:val="000000"/>
                <w:sz w:val="24"/>
                <w:szCs w:val="24"/>
              </w:rPr>
              <w:t xml:space="preserve"> англомовне меню</w:t>
            </w:r>
          </w:p>
        </w:tc>
        <w:tc>
          <w:tcPr>
            <w:tcW w:w="3009" w:type="dxa"/>
          </w:tcPr>
          <w:p w:rsidR="00F723DD" w:rsidRPr="00AE3D16" w:rsidRDefault="00F723DD" w:rsidP="00A13304">
            <w:pPr>
              <w:jc w:val="center"/>
              <w:rPr>
                <w:sz w:val="24"/>
                <w:szCs w:val="24"/>
              </w:rPr>
            </w:pPr>
          </w:p>
        </w:tc>
      </w:tr>
      <w:tr w:rsidR="00F723DD" w:rsidRPr="00AE3D16" w:rsidTr="00A13304">
        <w:trPr>
          <w:trHeight w:val="223"/>
        </w:trPr>
        <w:tc>
          <w:tcPr>
            <w:tcW w:w="989" w:type="dxa"/>
          </w:tcPr>
          <w:p w:rsidR="00F723DD" w:rsidRPr="00AE3D16" w:rsidRDefault="00F723DD" w:rsidP="00B42C54">
            <w:pPr>
              <w:numPr>
                <w:ilvl w:val="0"/>
                <w:numId w:val="1"/>
              </w:numPr>
              <w:spacing w:after="0" w:line="240" w:lineRule="auto"/>
              <w:ind w:left="73"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</w:tcPr>
          <w:p w:rsidR="00F723DD" w:rsidRPr="00AE3D16" w:rsidRDefault="00F723DD" w:rsidP="00A13304">
            <w:pPr>
              <w:rPr>
                <w:color w:val="000000"/>
                <w:sz w:val="24"/>
                <w:szCs w:val="24"/>
              </w:rPr>
            </w:pPr>
            <w:r w:rsidRPr="00AE3D16">
              <w:rPr>
                <w:color w:val="000000"/>
                <w:sz w:val="24"/>
                <w:szCs w:val="24"/>
              </w:rPr>
              <w:t xml:space="preserve">Кількість портів USB: не менше 4 </w:t>
            </w:r>
          </w:p>
        </w:tc>
        <w:tc>
          <w:tcPr>
            <w:tcW w:w="3009" w:type="dxa"/>
          </w:tcPr>
          <w:p w:rsidR="00F723DD" w:rsidRPr="00AE3D16" w:rsidRDefault="00F723DD" w:rsidP="00A133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23DD" w:rsidRPr="00852C1D" w:rsidTr="00A13304">
        <w:trPr>
          <w:trHeight w:val="223"/>
        </w:trPr>
        <w:tc>
          <w:tcPr>
            <w:tcW w:w="989" w:type="dxa"/>
          </w:tcPr>
          <w:p w:rsidR="00F723DD" w:rsidRPr="00AE3D16" w:rsidRDefault="00F723DD" w:rsidP="00B42C54">
            <w:pPr>
              <w:numPr>
                <w:ilvl w:val="0"/>
                <w:numId w:val="1"/>
              </w:numPr>
              <w:spacing w:after="0" w:line="240" w:lineRule="auto"/>
              <w:ind w:left="73"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</w:tcPr>
          <w:p w:rsidR="00F723DD" w:rsidRPr="00AE3D16" w:rsidRDefault="00F723DD" w:rsidP="00A13304">
            <w:pPr>
              <w:rPr>
                <w:color w:val="000000"/>
                <w:sz w:val="24"/>
                <w:szCs w:val="24"/>
              </w:rPr>
            </w:pPr>
            <w:r w:rsidRPr="00AE3D16">
              <w:rPr>
                <w:color w:val="000000"/>
                <w:sz w:val="24"/>
                <w:szCs w:val="24"/>
              </w:rPr>
              <w:t>Можливість підключення Wi-Fi адаптера</w:t>
            </w:r>
          </w:p>
        </w:tc>
        <w:tc>
          <w:tcPr>
            <w:tcW w:w="3009" w:type="dxa"/>
          </w:tcPr>
          <w:p w:rsidR="00F723DD" w:rsidRPr="00AE3D16" w:rsidRDefault="00F723DD" w:rsidP="00A13304">
            <w:pPr>
              <w:jc w:val="center"/>
              <w:rPr>
                <w:sz w:val="24"/>
                <w:szCs w:val="24"/>
              </w:rPr>
            </w:pPr>
          </w:p>
        </w:tc>
      </w:tr>
      <w:tr w:rsidR="00F723DD" w:rsidRPr="00AE3D16" w:rsidTr="00A13304">
        <w:trPr>
          <w:trHeight w:val="258"/>
        </w:trPr>
        <w:tc>
          <w:tcPr>
            <w:tcW w:w="989" w:type="dxa"/>
          </w:tcPr>
          <w:p w:rsidR="00F723DD" w:rsidRPr="00AE3D16" w:rsidRDefault="00F723DD" w:rsidP="00B42C54">
            <w:pPr>
              <w:numPr>
                <w:ilvl w:val="0"/>
                <w:numId w:val="1"/>
              </w:numPr>
              <w:spacing w:after="0" w:line="240" w:lineRule="auto"/>
              <w:ind w:left="73"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</w:tcPr>
          <w:p w:rsidR="00F723DD" w:rsidRPr="00AE3D16" w:rsidRDefault="00F723DD" w:rsidP="00A13304">
            <w:pPr>
              <w:rPr>
                <w:sz w:val="24"/>
                <w:szCs w:val="24"/>
              </w:rPr>
            </w:pPr>
            <w:r w:rsidRPr="00AE3D16">
              <w:rPr>
                <w:sz w:val="24"/>
                <w:szCs w:val="24"/>
              </w:rPr>
              <w:t xml:space="preserve">Джерело живлення: 220В ± 10%, 50 </w:t>
            </w:r>
            <w:r>
              <w:rPr>
                <w:sz w:val="24"/>
                <w:szCs w:val="24"/>
              </w:rPr>
              <w:t>/</w:t>
            </w:r>
            <w:r w:rsidRPr="00AE3D16">
              <w:rPr>
                <w:sz w:val="24"/>
                <w:szCs w:val="24"/>
              </w:rPr>
              <w:t>60Гц</w:t>
            </w:r>
            <w:r>
              <w:rPr>
                <w:sz w:val="24"/>
                <w:szCs w:val="24"/>
              </w:rPr>
              <w:t xml:space="preserve"> </w:t>
            </w:r>
            <w:r w:rsidRPr="00AE3D16">
              <w:rPr>
                <w:sz w:val="24"/>
                <w:szCs w:val="24"/>
              </w:rPr>
              <w:t>±</w:t>
            </w:r>
            <w:r>
              <w:rPr>
                <w:sz w:val="24"/>
                <w:szCs w:val="24"/>
              </w:rPr>
              <w:t xml:space="preserve"> 1Гц</w:t>
            </w:r>
            <w:r w:rsidRPr="00AE3D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</w:tcPr>
          <w:p w:rsidR="00F723DD" w:rsidRPr="00AE3D16" w:rsidRDefault="00F723DD" w:rsidP="00A13304">
            <w:pPr>
              <w:jc w:val="center"/>
              <w:rPr>
                <w:sz w:val="24"/>
                <w:szCs w:val="24"/>
              </w:rPr>
            </w:pPr>
          </w:p>
        </w:tc>
      </w:tr>
      <w:tr w:rsidR="00F723DD" w:rsidRPr="00AE3D16" w:rsidTr="00A13304">
        <w:trPr>
          <w:trHeight w:val="258"/>
        </w:trPr>
        <w:tc>
          <w:tcPr>
            <w:tcW w:w="989" w:type="dxa"/>
          </w:tcPr>
          <w:p w:rsidR="00F723DD" w:rsidRPr="00AE3D16" w:rsidRDefault="00F723DD" w:rsidP="00B42C54">
            <w:pPr>
              <w:numPr>
                <w:ilvl w:val="0"/>
                <w:numId w:val="1"/>
              </w:numPr>
              <w:spacing w:after="0" w:line="240" w:lineRule="auto"/>
              <w:ind w:left="73"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</w:tcPr>
          <w:p w:rsidR="00F723DD" w:rsidRPr="00AE3D16" w:rsidRDefault="00F723DD" w:rsidP="00A13304">
            <w:pPr>
              <w:rPr>
                <w:sz w:val="24"/>
                <w:szCs w:val="24"/>
              </w:rPr>
            </w:pPr>
            <w:r w:rsidRPr="00AE3D16">
              <w:rPr>
                <w:sz w:val="24"/>
                <w:szCs w:val="24"/>
              </w:rPr>
              <w:t>Потужність споживання не більше 300 ВА</w:t>
            </w:r>
          </w:p>
        </w:tc>
        <w:tc>
          <w:tcPr>
            <w:tcW w:w="3009" w:type="dxa"/>
          </w:tcPr>
          <w:p w:rsidR="00F723DD" w:rsidRPr="00AE3D16" w:rsidRDefault="00F723DD" w:rsidP="00A13304">
            <w:pPr>
              <w:jc w:val="center"/>
              <w:rPr>
                <w:sz w:val="24"/>
                <w:szCs w:val="24"/>
              </w:rPr>
            </w:pPr>
          </w:p>
        </w:tc>
      </w:tr>
      <w:tr w:rsidR="00F723DD" w:rsidRPr="00AE3D16" w:rsidTr="00A13304">
        <w:trPr>
          <w:trHeight w:val="258"/>
        </w:trPr>
        <w:tc>
          <w:tcPr>
            <w:tcW w:w="989" w:type="dxa"/>
          </w:tcPr>
          <w:p w:rsidR="00F723DD" w:rsidRPr="00AE3D16" w:rsidRDefault="00F723DD" w:rsidP="00B42C54">
            <w:pPr>
              <w:numPr>
                <w:ilvl w:val="0"/>
                <w:numId w:val="1"/>
              </w:numPr>
              <w:spacing w:after="0" w:line="240" w:lineRule="auto"/>
              <w:ind w:left="73"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</w:tcPr>
          <w:p w:rsidR="00F723DD" w:rsidRPr="00AE3D16" w:rsidRDefault="00F723DD" w:rsidP="00A13304">
            <w:pPr>
              <w:rPr>
                <w:sz w:val="24"/>
                <w:szCs w:val="24"/>
              </w:rPr>
            </w:pPr>
            <w:r w:rsidRPr="00AE3D16">
              <w:rPr>
                <w:sz w:val="24"/>
                <w:szCs w:val="24"/>
              </w:rPr>
              <w:t xml:space="preserve">Вага: не більше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AE3D16">
                <w:rPr>
                  <w:sz w:val="24"/>
                  <w:szCs w:val="24"/>
                </w:rPr>
                <w:t>20 кг</w:t>
              </w:r>
            </w:smartTag>
          </w:p>
        </w:tc>
        <w:tc>
          <w:tcPr>
            <w:tcW w:w="3009" w:type="dxa"/>
          </w:tcPr>
          <w:p w:rsidR="00F723DD" w:rsidRPr="00AE3D16" w:rsidRDefault="00F723DD" w:rsidP="00A13304">
            <w:pPr>
              <w:jc w:val="center"/>
              <w:rPr>
                <w:sz w:val="24"/>
                <w:szCs w:val="24"/>
              </w:rPr>
            </w:pPr>
          </w:p>
        </w:tc>
      </w:tr>
      <w:tr w:rsidR="00F723DD" w:rsidRPr="00AE3D16" w:rsidTr="00A13304">
        <w:trPr>
          <w:trHeight w:val="258"/>
        </w:trPr>
        <w:tc>
          <w:tcPr>
            <w:tcW w:w="989" w:type="dxa"/>
          </w:tcPr>
          <w:p w:rsidR="00F723DD" w:rsidRPr="00AE3D16" w:rsidRDefault="00F723DD" w:rsidP="00B42C54">
            <w:pPr>
              <w:numPr>
                <w:ilvl w:val="0"/>
                <w:numId w:val="1"/>
              </w:numPr>
              <w:spacing w:after="0" w:line="240" w:lineRule="auto"/>
              <w:ind w:left="73"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</w:tcPr>
          <w:p w:rsidR="00F723DD" w:rsidRPr="00AE3D16" w:rsidRDefault="00F723DD" w:rsidP="00A13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Розміри</w:t>
            </w:r>
            <w:r w:rsidRPr="00AE3D16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не більше 295</w:t>
            </w:r>
            <w:r w:rsidRPr="00D2503D">
              <w:rPr>
                <w:sz w:val="24"/>
                <w:szCs w:val="24"/>
              </w:rPr>
              <w:t xml:space="preserve"> mm</w:t>
            </w:r>
            <w:r>
              <w:rPr>
                <w:sz w:val="24"/>
                <w:szCs w:val="24"/>
              </w:rPr>
              <w:t>*398 mm*</w:t>
            </w:r>
            <w:r w:rsidRPr="00D2503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07</w:t>
            </w:r>
            <w:r w:rsidRPr="00D2503D">
              <w:rPr>
                <w:sz w:val="24"/>
                <w:szCs w:val="24"/>
              </w:rPr>
              <w:t xml:space="preserve"> mm</w:t>
            </w:r>
          </w:p>
        </w:tc>
        <w:tc>
          <w:tcPr>
            <w:tcW w:w="3009" w:type="dxa"/>
          </w:tcPr>
          <w:p w:rsidR="00F723DD" w:rsidRPr="00AE3D16" w:rsidRDefault="00F723DD" w:rsidP="00A13304">
            <w:pPr>
              <w:jc w:val="center"/>
              <w:rPr>
                <w:sz w:val="24"/>
                <w:szCs w:val="24"/>
              </w:rPr>
            </w:pPr>
          </w:p>
        </w:tc>
      </w:tr>
      <w:tr w:rsidR="00F723DD" w:rsidRPr="00AE3D16" w:rsidTr="00A13304">
        <w:trPr>
          <w:trHeight w:val="258"/>
        </w:trPr>
        <w:tc>
          <w:tcPr>
            <w:tcW w:w="989" w:type="dxa"/>
          </w:tcPr>
          <w:p w:rsidR="00F723DD" w:rsidRPr="00AE3D16" w:rsidRDefault="00F723DD" w:rsidP="00B42C54">
            <w:pPr>
              <w:numPr>
                <w:ilvl w:val="0"/>
                <w:numId w:val="1"/>
              </w:numPr>
              <w:spacing w:after="0" w:line="240" w:lineRule="auto"/>
              <w:ind w:left="73"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  <w:vAlign w:val="center"/>
          </w:tcPr>
          <w:p w:rsidR="00F723DD" w:rsidRDefault="00F723DD" w:rsidP="00A13304">
            <w:pPr>
              <w:textAlignment w:val="baseline"/>
              <w:rPr>
                <w:sz w:val="24"/>
                <w:szCs w:val="24"/>
              </w:rPr>
            </w:pPr>
            <w:r w:rsidRPr="00EE6330">
              <w:rPr>
                <w:sz w:val="24"/>
                <w:szCs w:val="24"/>
              </w:rPr>
              <w:t xml:space="preserve">Наявність у виробника запропонованого товару Сертифікату </w:t>
            </w:r>
            <w:r>
              <w:rPr>
                <w:sz w:val="24"/>
                <w:szCs w:val="24"/>
              </w:rPr>
              <w:t>ISO</w:t>
            </w:r>
            <w:r w:rsidRPr="00EE6330">
              <w:rPr>
                <w:sz w:val="24"/>
                <w:szCs w:val="24"/>
              </w:rPr>
              <w:t xml:space="preserve"> 13485 (надати копію</w:t>
            </w:r>
            <w:r w:rsidRPr="00EE6330">
              <w:rPr>
                <w:color w:val="1F497D"/>
                <w:sz w:val="24"/>
                <w:szCs w:val="24"/>
              </w:rPr>
              <w:t>)</w:t>
            </w:r>
          </w:p>
        </w:tc>
        <w:tc>
          <w:tcPr>
            <w:tcW w:w="3009" w:type="dxa"/>
          </w:tcPr>
          <w:p w:rsidR="00F723DD" w:rsidRPr="00AE3D16" w:rsidRDefault="00F723DD" w:rsidP="00A13304">
            <w:pPr>
              <w:jc w:val="center"/>
              <w:rPr>
                <w:sz w:val="24"/>
                <w:szCs w:val="24"/>
              </w:rPr>
            </w:pPr>
          </w:p>
        </w:tc>
      </w:tr>
      <w:tr w:rsidR="00F723DD" w:rsidRPr="00AE3D16" w:rsidTr="00A13304">
        <w:trPr>
          <w:trHeight w:val="258"/>
        </w:trPr>
        <w:tc>
          <w:tcPr>
            <w:tcW w:w="989" w:type="dxa"/>
          </w:tcPr>
          <w:p w:rsidR="00F723DD" w:rsidRPr="00AE3D16" w:rsidRDefault="00F723DD" w:rsidP="00B42C54">
            <w:pPr>
              <w:numPr>
                <w:ilvl w:val="0"/>
                <w:numId w:val="1"/>
              </w:numPr>
              <w:spacing w:after="0" w:line="240" w:lineRule="auto"/>
              <w:ind w:left="73"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  <w:vAlign w:val="center"/>
          </w:tcPr>
          <w:p w:rsidR="00F723DD" w:rsidRPr="00EE6330" w:rsidRDefault="00F723DD" w:rsidP="00A13304">
            <w:pPr>
              <w:textAlignment w:val="baseline"/>
              <w:rPr>
                <w:sz w:val="24"/>
                <w:szCs w:val="24"/>
              </w:rPr>
            </w:pPr>
            <w:r w:rsidRPr="00EE6330">
              <w:rPr>
                <w:sz w:val="24"/>
                <w:szCs w:val="24"/>
              </w:rPr>
              <w:t xml:space="preserve">Наявність на запропонований товар у виробника Декларації </w:t>
            </w:r>
            <w:r>
              <w:rPr>
                <w:sz w:val="24"/>
                <w:szCs w:val="24"/>
              </w:rPr>
              <w:t>CE</w:t>
            </w:r>
            <w:r w:rsidRPr="00EE6330">
              <w:rPr>
                <w:sz w:val="24"/>
                <w:szCs w:val="24"/>
              </w:rPr>
              <w:t xml:space="preserve"> (або сертифікату </w:t>
            </w:r>
            <w:r>
              <w:rPr>
                <w:sz w:val="24"/>
                <w:szCs w:val="24"/>
                <w:lang w:val="en-US"/>
              </w:rPr>
              <w:t>FDA</w:t>
            </w:r>
            <w:r w:rsidRPr="00EE6330">
              <w:rPr>
                <w:sz w:val="24"/>
                <w:szCs w:val="24"/>
              </w:rPr>
              <w:t xml:space="preserve">) про класифікацію товарів як медичних виробів для діагностики </w:t>
            </w:r>
            <w:r>
              <w:rPr>
                <w:sz w:val="24"/>
                <w:szCs w:val="24"/>
                <w:lang w:val="en-US"/>
              </w:rPr>
              <w:t>in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vitro</w:t>
            </w:r>
            <w:r>
              <w:rPr>
                <w:sz w:val="24"/>
                <w:szCs w:val="24"/>
              </w:rPr>
              <w:t xml:space="preserve"> </w:t>
            </w:r>
            <w:r w:rsidRPr="00EE6330">
              <w:rPr>
                <w:sz w:val="24"/>
                <w:szCs w:val="24"/>
              </w:rPr>
              <w:t>(надати копію)</w:t>
            </w:r>
          </w:p>
        </w:tc>
        <w:tc>
          <w:tcPr>
            <w:tcW w:w="3009" w:type="dxa"/>
          </w:tcPr>
          <w:p w:rsidR="00F723DD" w:rsidRPr="00AE3D16" w:rsidRDefault="00F723DD" w:rsidP="00A13304">
            <w:pPr>
              <w:jc w:val="center"/>
              <w:rPr>
                <w:sz w:val="24"/>
                <w:szCs w:val="24"/>
              </w:rPr>
            </w:pPr>
          </w:p>
        </w:tc>
      </w:tr>
      <w:tr w:rsidR="00F723DD" w:rsidRPr="00AE3D16" w:rsidTr="00A13304">
        <w:trPr>
          <w:trHeight w:val="258"/>
        </w:trPr>
        <w:tc>
          <w:tcPr>
            <w:tcW w:w="989" w:type="dxa"/>
          </w:tcPr>
          <w:p w:rsidR="00F723DD" w:rsidRPr="00AE3D16" w:rsidRDefault="00F723DD" w:rsidP="00B42C54">
            <w:pPr>
              <w:numPr>
                <w:ilvl w:val="0"/>
                <w:numId w:val="1"/>
              </w:numPr>
              <w:spacing w:after="0" w:line="240" w:lineRule="auto"/>
              <w:ind w:left="73"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  <w:vAlign w:val="center"/>
          </w:tcPr>
          <w:p w:rsidR="00F723DD" w:rsidRPr="00EE6330" w:rsidRDefault="00F723DD" w:rsidP="00A13304">
            <w:pPr>
              <w:textAlignment w:val="baseline"/>
              <w:rPr>
                <w:sz w:val="24"/>
                <w:szCs w:val="24"/>
              </w:rPr>
            </w:pPr>
            <w:r w:rsidRPr="006B7699">
              <w:rPr>
                <w:sz w:val="24"/>
                <w:szCs w:val="24"/>
              </w:rPr>
              <w:t>Наявність у представника на території України</w:t>
            </w:r>
            <w:r w:rsidRPr="006B7699">
              <w:rPr>
                <w:sz w:val="24"/>
                <w:szCs w:val="24"/>
                <w:lang w:eastAsia="zh-CN"/>
              </w:rPr>
              <w:t xml:space="preserve"> сертифікату на систему якості підприємства (Сертифікат ISO </w:t>
            </w:r>
            <w:r w:rsidRPr="006B7699">
              <w:rPr>
                <w:bCs/>
                <w:sz w:val="24"/>
                <w:szCs w:val="24"/>
                <w:lang w:eastAsia="zh-CN"/>
              </w:rPr>
              <w:t>14001:2015</w:t>
            </w:r>
            <w:r w:rsidRPr="006B7699">
              <w:rPr>
                <w:sz w:val="24"/>
                <w:szCs w:val="24"/>
                <w:lang w:eastAsia="zh-CN"/>
              </w:rPr>
              <w:t>, міжнародного зразка), що регламентує постачання хімічної сировини та комплексне оснащення лабораторій реактивами, посудом, меблями, приладами та аналітичним обладнанням (</w:t>
            </w:r>
            <w:r w:rsidRPr="006B7699">
              <w:rPr>
                <w:sz w:val="24"/>
                <w:szCs w:val="24"/>
              </w:rPr>
              <w:t>надати копію</w:t>
            </w:r>
            <w:r w:rsidRPr="006B7699">
              <w:rPr>
                <w:sz w:val="24"/>
                <w:szCs w:val="24"/>
                <w:lang w:eastAsia="zh-CN"/>
              </w:rPr>
              <w:t>).</w:t>
            </w:r>
          </w:p>
        </w:tc>
        <w:tc>
          <w:tcPr>
            <w:tcW w:w="3009" w:type="dxa"/>
          </w:tcPr>
          <w:p w:rsidR="00F723DD" w:rsidRPr="00AE3D16" w:rsidRDefault="00F723DD" w:rsidP="00A13304">
            <w:pPr>
              <w:jc w:val="center"/>
              <w:rPr>
                <w:sz w:val="24"/>
                <w:szCs w:val="24"/>
              </w:rPr>
            </w:pPr>
          </w:p>
        </w:tc>
      </w:tr>
      <w:tr w:rsidR="00F723DD" w:rsidRPr="00AE3D16" w:rsidTr="00A13304">
        <w:trPr>
          <w:trHeight w:val="831"/>
        </w:trPr>
        <w:tc>
          <w:tcPr>
            <w:tcW w:w="989" w:type="dxa"/>
          </w:tcPr>
          <w:p w:rsidR="00F723DD" w:rsidRPr="00AE3D16" w:rsidRDefault="00F723DD" w:rsidP="00B42C54">
            <w:pPr>
              <w:numPr>
                <w:ilvl w:val="0"/>
                <w:numId w:val="1"/>
              </w:numPr>
              <w:spacing w:after="0" w:line="240" w:lineRule="auto"/>
              <w:ind w:left="73"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  <w:vAlign w:val="center"/>
          </w:tcPr>
          <w:p w:rsidR="00F723DD" w:rsidRPr="00AE3D16" w:rsidRDefault="00F723DD" w:rsidP="00A13304">
            <w:pPr>
              <w:shd w:val="clear" w:color="auto" w:fill="FFFFFF"/>
              <w:rPr>
                <w:sz w:val="24"/>
                <w:szCs w:val="24"/>
              </w:rPr>
            </w:pPr>
            <w:r w:rsidRPr="00AE3D16">
              <w:rPr>
                <w:sz w:val="24"/>
                <w:szCs w:val="24"/>
              </w:rPr>
              <w:t xml:space="preserve">Прилад повинен супроводжуватися експлуатаційною  документацією українською або </w:t>
            </w:r>
            <w:r>
              <w:rPr>
                <w:sz w:val="24"/>
                <w:szCs w:val="24"/>
              </w:rPr>
              <w:t>англійською</w:t>
            </w:r>
            <w:r w:rsidRPr="00AE3D16">
              <w:rPr>
                <w:sz w:val="24"/>
                <w:szCs w:val="24"/>
              </w:rPr>
              <w:t xml:space="preserve"> мовами</w:t>
            </w:r>
          </w:p>
        </w:tc>
        <w:tc>
          <w:tcPr>
            <w:tcW w:w="3009" w:type="dxa"/>
          </w:tcPr>
          <w:p w:rsidR="00F723DD" w:rsidRPr="00AE3D16" w:rsidRDefault="00F723DD" w:rsidP="00A13304">
            <w:pPr>
              <w:jc w:val="center"/>
              <w:rPr>
                <w:sz w:val="24"/>
                <w:szCs w:val="24"/>
              </w:rPr>
            </w:pPr>
          </w:p>
        </w:tc>
      </w:tr>
      <w:tr w:rsidR="00F723DD" w:rsidRPr="00AE3D16" w:rsidTr="00A13304">
        <w:trPr>
          <w:trHeight w:val="258"/>
        </w:trPr>
        <w:tc>
          <w:tcPr>
            <w:tcW w:w="989" w:type="dxa"/>
          </w:tcPr>
          <w:p w:rsidR="00F723DD" w:rsidRPr="00AE3D16" w:rsidRDefault="00F723DD" w:rsidP="00B42C54">
            <w:pPr>
              <w:numPr>
                <w:ilvl w:val="0"/>
                <w:numId w:val="1"/>
              </w:numPr>
              <w:spacing w:after="0" w:line="240" w:lineRule="auto"/>
              <w:ind w:left="73"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  <w:vAlign w:val="center"/>
          </w:tcPr>
          <w:p w:rsidR="00F723DD" w:rsidRPr="00AE3D16" w:rsidRDefault="00F723DD" w:rsidP="00A13304">
            <w:pPr>
              <w:shd w:val="clear" w:color="auto" w:fill="FFFFFF"/>
              <w:rPr>
                <w:sz w:val="24"/>
                <w:szCs w:val="24"/>
              </w:rPr>
            </w:pPr>
            <w:r w:rsidRPr="00AE3D16">
              <w:rPr>
                <w:sz w:val="24"/>
                <w:szCs w:val="24"/>
              </w:rPr>
              <w:t>Термін гарантійного обслуговування приладу повинен становити не менше 12 місяців</w:t>
            </w:r>
          </w:p>
        </w:tc>
        <w:tc>
          <w:tcPr>
            <w:tcW w:w="3009" w:type="dxa"/>
          </w:tcPr>
          <w:p w:rsidR="00F723DD" w:rsidRPr="00AE3D16" w:rsidRDefault="00F723DD" w:rsidP="00A13304">
            <w:pPr>
              <w:jc w:val="center"/>
              <w:rPr>
                <w:sz w:val="24"/>
                <w:szCs w:val="24"/>
              </w:rPr>
            </w:pPr>
          </w:p>
        </w:tc>
      </w:tr>
      <w:tr w:rsidR="00F723DD" w:rsidRPr="00AE3D16" w:rsidTr="00A13304">
        <w:trPr>
          <w:trHeight w:val="258"/>
        </w:trPr>
        <w:tc>
          <w:tcPr>
            <w:tcW w:w="989" w:type="dxa"/>
          </w:tcPr>
          <w:p w:rsidR="00F723DD" w:rsidRPr="00AE3D16" w:rsidRDefault="00F723DD" w:rsidP="00B42C54">
            <w:pPr>
              <w:numPr>
                <w:ilvl w:val="0"/>
                <w:numId w:val="1"/>
              </w:numPr>
              <w:spacing w:after="0" w:line="240" w:lineRule="auto"/>
              <w:ind w:left="73"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  <w:vAlign w:val="center"/>
          </w:tcPr>
          <w:p w:rsidR="00F723DD" w:rsidRPr="00AE3D16" w:rsidRDefault="00F723DD" w:rsidP="00A13304">
            <w:pPr>
              <w:shd w:val="clear" w:color="auto" w:fill="FFFFFF"/>
              <w:rPr>
                <w:sz w:val="24"/>
                <w:szCs w:val="24"/>
              </w:rPr>
            </w:pPr>
            <w:r w:rsidRPr="00570F04">
              <w:rPr>
                <w:sz w:val="24"/>
                <w:szCs w:val="24"/>
              </w:rPr>
              <w:t>Навчання медичного персоналу на робочому місці.</w:t>
            </w:r>
            <w:r w:rsidRPr="00570F04">
              <w:rPr>
                <w:sz w:val="24"/>
                <w:szCs w:val="24"/>
              </w:rPr>
              <w:tab/>
            </w:r>
          </w:p>
        </w:tc>
        <w:tc>
          <w:tcPr>
            <w:tcW w:w="3009" w:type="dxa"/>
          </w:tcPr>
          <w:p w:rsidR="00F723DD" w:rsidRPr="00AE3D16" w:rsidRDefault="00F723DD" w:rsidP="00A13304">
            <w:pPr>
              <w:jc w:val="center"/>
              <w:rPr>
                <w:sz w:val="24"/>
                <w:szCs w:val="24"/>
              </w:rPr>
            </w:pPr>
          </w:p>
        </w:tc>
      </w:tr>
      <w:tr w:rsidR="00F723DD" w:rsidRPr="00AE3D16" w:rsidTr="00A13304">
        <w:trPr>
          <w:trHeight w:val="258"/>
        </w:trPr>
        <w:tc>
          <w:tcPr>
            <w:tcW w:w="989" w:type="dxa"/>
          </w:tcPr>
          <w:p w:rsidR="00F723DD" w:rsidRPr="00AE3D16" w:rsidRDefault="00F723DD" w:rsidP="00B42C54">
            <w:pPr>
              <w:numPr>
                <w:ilvl w:val="0"/>
                <w:numId w:val="1"/>
              </w:numPr>
              <w:spacing w:after="0" w:line="240" w:lineRule="auto"/>
              <w:ind w:left="73"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  <w:vAlign w:val="center"/>
          </w:tcPr>
          <w:p w:rsidR="00F723DD" w:rsidRPr="000B677D" w:rsidRDefault="00F723DD" w:rsidP="00A13304">
            <w:pPr>
              <w:shd w:val="clear" w:color="auto" w:fill="FFFFFF"/>
              <w:rPr>
                <w:sz w:val="24"/>
                <w:szCs w:val="24"/>
              </w:rPr>
            </w:pPr>
            <w:r w:rsidRPr="000B677D">
              <w:rPr>
                <w:sz w:val="24"/>
                <w:szCs w:val="24"/>
              </w:rPr>
              <w:t>Наявність сертифікованої сервісної служби</w:t>
            </w:r>
          </w:p>
        </w:tc>
        <w:tc>
          <w:tcPr>
            <w:tcW w:w="3009" w:type="dxa"/>
          </w:tcPr>
          <w:p w:rsidR="00F723DD" w:rsidRPr="00AE3D16" w:rsidRDefault="00F723DD" w:rsidP="00A13304">
            <w:pPr>
              <w:jc w:val="center"/>
              <w:rPr>
                <w:sz w:val="24"/>
                <w:szCs w:val="24"/>
              </w:rPr>
            </w:pPr>
          </w:p>
        </w:tc>
      </w:tr>
      <w:tr w:rsidR="00F723DD" w:rsidRPr="00570F04" w:rsidTr="00A13304">
        <w:trPr>
          <w:trHeight w:val="258"/>
        </w:trPr>
        <w:tc>
          <w:tcPr>
            <w:tcW w:w="989" w:type="dxa"/>
          </w:tcPr>
          <w:p w:rsidR="00F723DD" w:rsidRPr="00AE3D16" w:rsidRDefault="00F723DD" w:rsidP="00B42C54">
            <w:pPr>
              <w:numPr>
                <w:ilvl w:val="0"/>
                <w:numId w:val="1"/>
              </w:numPr>
              <w:spacing w:after="0" w:line="240" w:lineRule="auto"/>
              <w:ind w:left="73"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  <w:vAlign w:val="center"/>
          </w:tcPr>
          <w:p w:rsidR="00F723DD" w:rsidRPr="00AE3D16" w:rsidRDefault="00F723DD" w:rsidP="00A13304">
            <w:pPr>
              <w:shd w:val="clear" w:color="auto" w:fill="FFFFFF"/>
              <w:rPr>
                <w:sz w:val="24"/>
                <w:szCs w:val="24"/>
              </w:rPr>
            </w:pPr>
            <w:r w:rsidRPr="00570F04">
              <w:rPr>
                <w:sz w:val="24"/>
                <w:szCs w:val="24"/>
              </w:rPr>
              <w:t xml:space="preserve">Надати оригінал гарантійного листа виробника або представника виробника, яким підтверджується можливість поставки товару, у необхідній кількості та якості який є предметом закупівлі </w:t>
            </w:r>
          </w:p>
        </w:tc>
        <w:tc>
          <w:tcPr>
            <w:tcW w:w="3009" w:type="dxa"/>
          </w:tcPr>
          <w:p w:rsidR="00F723DD" w:rsidRPr="00AE3D16" w:rsidRDefault="00F723DD" w:rsidP="00A13304">
            <w:pPr>
              <w:jc w:val="center"/>
              <w:rPr>
                <w:sz w:val="24"/>
                <w:szCs w:val="24"/>
              </w:rPr>
            </w:pPr>
          </w:p>
        </w:tc>
      </w:tr>
      <w:tr w:rsidR="00F723DD" w:rsidRPr="00852C1D" w:rsidTr="00A13304">
        <w:trPr>
          <w:trHeight w:val="258"/>
        </w:trPr>
        <w:tc>
          <w:tcPr>
            <w:tcW w:w="989" w:type="dxa"/>
          </w:tcPr>
          <w:p w:rsidR="00F723DD" w:rsidRPr="00AE3D16" w:rsidRDefault="00F723DD" w:rsidP="00B42C54">
            <w:pPr>
              <w:numPr>
                <w:ilvl w:val="0"/>
                <w:numId w:val="1"/>
              </w:numPr>
              <w:spacing w:after="0" w:line="240" w:lineRule="auto"/>
              <w:ind w:left="73"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  <w:vAlign w:val="center"/>
          </w:tcPr>
          <w:p w:rsidR="00F723DD" w:rsidRPr="00AE3D16" w:rsidRDefault="00F723DD" w:rsidP="00A13304">
            <w:pPr>
              <w:shd w:val="clear" w:color="auto" w:fill="FFFFFF"/>
              <w:rPr>
                <w:sz w:val="24"/>
                <w:szCs w:val="24"/>
              </w:rPr>
            </w:pPr>
            <w:r w:rsidRPr="00644BEB">
              <w:rPr>
                <w:color w:val="000000"/>
                <w:sz w:val="24"/>
                <w:szCs w:val="24"/>
              </w:rPr>
              <w:t>Наявність документів, що підтверджують проведення оцінки відповідності</w:t>
            </w:r>
            <w:r w:rsidRPr="00C5677D">
              <w:rPr>
                <w:color w:val="000000"/>
                <w:sz w:val="24"/>
                <w:szCs w:val="24"/>
              </w:rPr>
              <w:t xml:space="preserve"> запропонованих товарів вимогам технічного регламенту затвердженого Постанов</w:t>
            </w:r>
            <w:r>
              <w:rPr>
                <w:color w:val="000000"/>
                <w:sz w:val="24"/>
                <w:szCs w:val="24"/>
              </w:rPr>
              <w:t xml:space="preserve">ою КМУ  №754 </w:t>
            </w:r>
            <w:r w:rsidRPr="00C5677D">
              <w:rPr>
                <w:color w:val="000000"/>
                <w:sz w:val="24"/>
                <w:szCs w:val="24"/>
              </w:rPr>
              <w:t>від 02.10.2013 (</w:t>
            </w:r>
            <w:r>
              <w:rPr>
                <w:color w:val="000000"/>
                <w:sz w:val="24"/>
                <w:szCs w:val="24"/>
              </w:rPr>
              <w:t xml:space="preserve">Надати </w:t>
            </w:r>
            <w:r w:rsidRPr="00644BEB">
              <w:rPr>
                <w:color w:val="000000"/>
                <w:sz w:val="24"/>
                <w:szCs w:val="24"/>
              </w:rPr>
              <w:t>копію сертифікату або свідоцтва або декларації відповідності на товар)</w:t>
            </w:r>
          </w:p>
        </w:tc>
        <w:tc>
          <w:tcPr>
            <w:tcW w:w="3009" w:type="dxa"/>
          </w:tcPr>
          <w:p w:rsidR="00F723DD" w:rsidRPr="00AE3D16" w:rsidRDefault="00F723DD" w:rsidP="00A13304">
            <w:pPr>
              <w:jc w:val="center"/>
              <w:rPr>
                <w:sz w:val="24"/>
                <w:szCs w:val="24"/>
              </w:rPr>
            </w:pPr>
          </w:p>
        </w:tc>
      </w:tr>
      <w:tr w:rsidR="00F723DD" w:rsidRPr="00852C1D" w:rsidTr="00A13304">
        <w:trPr>
          <w:trHeight w:val="258"/>
        </w:trPr>
        <w:tc>
          <w:tcPr>
            <w:tcW w:w="989" w:type="dxa"/>
          </w:tcPr>
          <w:p w:rsidR="00F723DD" w:rsidRPr="00AE3D16" w:rsidRDefault="00F723DD" w:rsidP="00B42C54">
            <w:pPr>
              <w:numPr>
                <w:ilvl w:val="0"/>
                <w:numId w:val="1"/>
              </w:numPr>
              <w:spacing w:after="0" w:line="240" w:lineRule="auto"/>
              <w:ind w:left="73"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  <w:vAlign w:val="center"/>
          </w:tcPr>
          <w:p w:rsidR="00F723DD" w:rsidRPr="00037E8A" w:rsidRDefault="00F723DD" w:rsidP="00A13304">
            <w:pPr>
              <w:suppressAutoHyphens/>
              <w:autoSpaceDN w:val="0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37E8A">
              <w:rPr>
                <w:color w:val="000000"/>
                <w:kern w:val="3"/>
                <w:sz w:val="24"/>
                <w:szCs w:val="24"/>
              </w:rPr>
              <w:t>Наявність стартового набору реагентів.</w:t>
            </w:r>
            <w:r>
              <w:rPr>
                <w:color w:val="000000"/>
                <w:kern w:val="3"/>
                <w:sz w:val="24"/>
                <w:szCs w:val="24"/>
              </w:rPr>
              <w:t xml:space="preserve"> </w:t>
            </w:r>
            <w:r w:rsidRPr="00037E8A">
              <w:rPr>
                <w:color w:val="000000"/>
                <w:kern w:val="3"/>
                <w:sz w:val="24"/>
                <w:szCs w:val="24"/>
              </w:rPr>
              <w:t>Надати в складі тендерної пропозиції декларацію відповідності на реактиви, а також сертифікат якості від виробника на кожну позицію з переліку.</w:t>
            </w:r>
          </w:p>
        </w:tc>
        <w:tc>
          <w:tcPr>
            <w:tcW w:w="3009" w:type="dxa"/>
          </w:tcPr>
          <w:p w:rsidR="00F723DD" w:rsidRPr="00AE3D16" w:rsidRDefault="00F723DD" w:rsidP="00A13304">
            <w:pPr>
              <w:jc w:val="center"/>
              <w:rPr>
                <w:sz w:val="24"/>
                <w:szCs w:val="24"/>
              </w:rPr>
            </w:pPr>
          </w:p>
        </w:tc>
      </w:tr>
      <w:tr w:rsidR="00F723DD" w:rsidRPr="00AE3D16" w:rsidTr="00A13304">
        <w:trPr>
          <w:trHeight w:val="258"/>
        </w:trPr>
        <w:tc>
          <w:tcPr>
            <w:tcW w:w="989" w:type="dxa"/>
          </w:tcPr>
          <w:p w:rsidR="00F723DD" w:rsidRPr="00AE3D16" w:rsidRDefault="00F723DD" w:rsidP="00B42C54">
            <w:pPr>
              <w:numPr>
                <w:ilvl w:val="0"/>
                <w:numId w:val="1"/>
              </w:numPr>
              <w:spacing w:after="0" w:line="240" w:lineRule="auto"/>
              <w:ind w:left="73"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</w:tcPr>
          <w:p w:rsidR="00F723DD" w:rsidRPr="00037E8A" w:rsidRDefault="00F723DD" w:rsidP="00A133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37E8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Ізотонічний розчин «Diluent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»20л </w:t>
            </w:r>
          </w:p>
          <w:p w:rsidR="00F723DD" w:rsidRPr="00037E8A" w:rsidRDefault="00F723DD" w:rsidP="00A133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37E8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АКТИВНІ ІНГРЕДІЄНТИ:</w:t>
            </w:r>
          </w:p>
          <w:p w:rsidR="00F723DD" w:rsidRPr="00037E8A" w:rsidRDefault="00F723DD" w:rsidP="00A133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37E8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Хлорид натрію</w:t>
            </w:r>
            <w:r w:rsidRPr="00037E8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  <w:t>5,0 г/л</w:t>
            </w:r>
          </w:p>
          <w:p w:rsidR="00F723DD" w:rsidRPr="00037E8A" w:rsidRDefault="00F723DD" w:rsidP="00A133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37E8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Безводнийнатрію сульфат</w:t>
            </w:r>
            <w:r w:rsidRPr="00037E8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  <w:t>8,0 г/л</w:t>
            </w:r>
          </w:p>
          <w:p w:rsidR="00F723DD" w:rsidRPr="00037E8A" w:rsidRDefault="00F723DD" w:rsidP="00A133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37E8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Буферніречовини 1,0 – 3,0 г/л</w:t>
            </w:r>
          </w:p>
          <w:p w:rsidR="00F723DD" w:rsidRPr="00037E8A" w:rsidRDefault="00F723DD" w:rsidP="00A133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37E8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Протигрибкові та антибактеріальніречовини 0,8 - 2,5 г/л</w:t>
            </w:r>
          </w:p>
        </w:tc>
        <w:tc>
          <w:tcPr>
            <w:tcW w:w="3009" w:type="dxa"/>
          </w:tcPr>
          <w:p w:rsidR="00F723DD" w:rsidRPr="00AE3D16" w:rsidRDefault="00F723DD" w:rsidP="00A13304">
            <w:pPr>
              <w:jc w:val="center"/>
              <w:rPr>
                <w:sz w:val="24"/>
                <w:szCs w:val="24"/>
              </w:rPr>
            </w:pPr>
          </w:p>
        </w:tc>
      </w:tr>
      <w:tr w:rsidR="00F723DD" w:rsidRPr="00AE3D16" w:rsidTr="00A13304">
        <w:trPr>
          <w:trHeight w:val="258"/>
        </w:trPr>
        <w:tc>
          <w:tcPr>
            <w:tcW w:w="989" w:type="dxa"/>
          </w:tcPr>
          <w:p w:rsidR="00F723DD" w:rsidRPr="00AE3D16" w:rsidRDefault="00F723DD" w:rsidP="00B42C54">
            <w:pPr>
              <w:numPr>
                <w:ilvl w:val="0"/>
                <w:numId w:val="1"/>
              </w:numPr>
              <w:spacing w:after="0" w:line="240" w:lineRule="auto"/>
              <w:ind w:left="73"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</w:tcPr>
          <w:p w:rsidR="00F723DD" w:rsidRPr="00037E8A" w:rsidRDefault="00F723DD" w:rsidP="00A133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37E8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Лізуючий розчин.  «</w:t>
            </w:r>
            <w:r w:rsidRPr="00037E8A">
              <w:rPr>
                <w:rFonts w:ascii="Times New Roman CYR" w:hAnsi="Times New Roman CYR" w:cs="Times New Roman CYR"/>
                <w:sz w:val="24"/>
                <w:szCs w:val="24"/>
              </w:rPr>
              <w:t>Lyse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» </w:t>
            </w:r>
          </w:p>
          <w:p w:rsidR="00F723DD" w:rsidRPr="00037E8A" w:rsidRDefault="00F723DD" w:rsidP="00A133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37E8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АКТИВНІ ІНГРЕДІЄНТИ:</w:t>
            </w:r>
          </w:p>
          <w:p w:rsidR="00F723DD" w:rsidRPr="00970488" w:rsidRDefault="00F723DD" w:rsidP="00A133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7048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Четвертиннісоліамонію&lt; 50 г/л</w:t>
            </w:r>
          </w:p>
          <w:p w:rsidR="00F723DD" w:rsidRPr="00970488" w:rsidRDefault="00F723DD" w:rsidP="00A133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7048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Неіонніповерхньо - активніречовини&lt; 15 г/л</w:t>
            </w:r>
          </w:p>
          <w:p w:rsidR="00F723DD" w:rsidRPr="00037E8A" w:rsidRDefault="00F723DD" w:rsidP="00A133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37E8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Ферроцианід&lt; 0,5 г/л</w:t>
            </w:r>
          </w:p>
          <w:p w:rsidR="00F723DD" w:rsidRPr="00037E8A" w:rsidRDefault="00F723DD" w:rsidP="00A133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37E8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Ізопропанол 0,1-1,5 г/л</w:t>
            </w:r>
          </w:p>
        </w:tc>
        <w:tc>
          <w:tcPr>
            <w:tcW w:w="3009" w:type="dxa"/>
          </w:tcPr>
          <w:p w:rsidR="00F723DD" w:rsidRPr="00AE3D16" w:rsidRDefault="00F723DD" w:rsidP="00A13304">
            <w:pPr>
              <w:jc w:val="center"/>
              <w:rPr>
                <w:sz w:val="24"/>
                <w:szCs w:val="24"/>
              </w:rPr>
            </w:pPr>
          </w:p>
        </w:tc>
      </w:tr>
      <w:tr w:rsidR="00F723DD" w:rsidRPr="00AE3D16" w:rsidTr="00A13304">
        <w:trPr>
          <w:trHeight w:val="258"/>
        </w:trPr>
        <w:tc>
          <w:tcPr>
            <w:tcW w:w="989" w:type="dxa"/>
          </w:tcPr>
          <w:p w:rsidR="00F723DD" w:rsidRPr="00AE3D16" w:rsidRDefault="00F723DD" w:rsidP="00B42C54">
            <w:pPr>
              <w:numPr>
                <w:ilvl w:val="0"/>
                <w:numId w:val="1"/>
              </w:numPr>
              <w:spacing w:after="0" w:line="240" w:lineRule="auto"/>
              <w:ind w:left="73"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</w:tcPr>
          <w:p w:rsidR="00F723DD" w:rsidRPr="00037E8A" w:rsidRDefault="00F723DD" w:rsidP="00A133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37E8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Реагент «Probe Сleanser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» </w:t>
            </w:r>
          </w:p>
          <w:p w:rsidR="00F723DD" w:rsidRPr="00037E8A" w:rsidRDefault="00F723DD" w:rsidP="00A133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37E8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АКТИВНІ ІНГРЕДІЄНТИ:</w:t>
            </w:r>
          </w:p>
          <w:p w:rsidR="00F723DD" w:rsidRPr="00037E8A" w:rsidRDefault="00F723DD" w:rsidP="00A133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37E8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Поверхньо - активніречовини&lt; 2,0 г/л</w:t>
            </w:r>
          </w:p>
          <w:p w:rsidR="00F723DD" w:rsidRPr="00037E8A" w:rsidRDefault="00F723DD" w:rsidP="00A133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37E8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Гіпохлориднатрію&lt; 100,0 г/л</w:t>
            </w:r>
          </w:p>
          <w:p w:rsidR="00F723DD" w:rsidRPr="00037E8A" w:rsidRDefault="00F723DD" w:rsidP="00A133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Гідроксиднатрію&lt; 100</w:t>
            </w:r>
            <w:r w:rsidRPr="00037E8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,0 г/л</w:t>
            </w:r>
          </w:p>
        </w:tc>
        <w:tc>
          <w:tcPr>
            <w:tcW w:w="3009" w:type="dxa"/>
          </w:tcPr>
          <w:p w:rsidR="00F723DD" w:rsidRPr="00AE3D16" w:rsidRDefault="00F723DD" w:rsidP="00A13304">
            <w:pPr>
              <w:jc w:val="center"/>
              <w:rPr>
                <w:sz w:val="24"/>
                <w:szCs w:val="24"/>
              </w:rPr>
            </w:pPr>
          </w:p>
        </w:tc>
      </w:tr>
      <w:tr w:rsidR="00F723DD" w:rsidRPr="00AE3D16" w:rsidTr="00A13304">
        <w:trPr>
          <w:trHeight w:val="258"/>
        </w:trPr>
        <w:tc>
          <w:tcPr>
            <w:tcW w:w="989" w:type="dxa"/>
          </w:tcPr>
          <w:p w:rsidR="00F723DD" w:rsidRPr="00AE3D16" w:rsidRDefault="00F723DD" w:rsidP="00B42C54">
            <w:pPr>
              <w:numPr>
                <w:ilvl w:val="0"/>
                <w:numId w:val="1"/>
              </w:numPr>
              <w:spacing w:after="0" w:line="240" w:lineRule="auto"/>
              <w:ind w:left="73"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</w:tcPr>
          <w:p w:rsidR="00F723DD" w:rsidRPr="00970488" w:rsidRDefault="00F723DD" w:rsidP="00A133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7048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«Контрольний матеріал BC-3D нормальний рівень 3 мл»</w:t>
            </w:r>
          </w:p>
          <w:p w:rsidR="00F723DD" w:rsidRPr="00970488" w:rsidRDefault="00F723DD" w:rsidP="00A133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7048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Реагент для діагностики in vitro, що складається з людських</w:t>
            </w:r>
          </w:p>
          <w:p w:rsidR="00F723DD" w:rsidRPr="00970488" w:rsidRDefault="00F723DD" w:rsidP="00A133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7048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еритроцитів людини, імітованих лейкоцитів та тромбоцитів ссавців</w:t>
            </w:r>
          </w:p>
          <w:p w:rsidR="00F723DD" w:rsidRDefault="00F723DD" w:rsidP="00A133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7048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суспендованих у плазмоподібній рідині з консервантами.</w:t>
            </w:r>
          </w:p>
          <w:p w:rsidR="00F723DD" w:rsidRPr="00037E8A" w:rsidRDefault="00F723DD" w:rsidP="00A133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37E8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Контрольний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037E8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матеріал повинен бути адаптованим до відповідного типу аналізатора. Підтвердженням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037E8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відповідності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037E8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технічним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037E8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вимогам повинно бути офіційне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037E8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посилання на документ (інструкція, паспорт) на сумісність до приладу та можливість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037E8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використання даного реагенту на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037E8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моделі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037E8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аналізатора. (надати гарантійний лист виробника/офіційного представника в Україні про можливість поставки в терміни та кількості передбачені даною тендерною документацією).</w:t>
            </w:r>
          </w:p>
        </w:tc>
        <w:tc>
          <w:tcPr>
            <w:tcW w:w="3009" w:type="dxa"/>
          </w:tcPr>
          <w:p w:rsidR="00F723DD" w:rsidRPr="00AE3D16" w:rsidRDefault="00F723DD" w:rsidP="00A133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23DD" w:rsidRPr="00FD07E1" w:rsidRDefault="00F723DD" w:rsidP="00B42C54"/>
    <w:p w:rsidR="00F723DD" w:rsidRDefault="00F723DD" w:rsidP="00B42C54"/>
    <w:p w:rsidR="00F723DD" w:rsidRPr="007E61EB" w:rsidRDefault="00F723DD" w:rsidP="00B42C54">
      <w:pPr>
        <w:autoSpaceDE w:val="0"/>
        <w:autoSpaceDN w:val="0"/>
        <w:ind w:firstLine="709"/>
        <w:jc w:val="both"/>
        <w:rPr>
          <w:lang w:eastAsia="zh-CN"/>
        </w:rPr>
      </w:pPr>
      <w:r w:rsidRPr="007E61EB">
        <w:rPr>
          <w:lang w:eastAsia="zh-CN"/>
        </w:rPr>
        <w:t>1. Відповідність технічних характеристик запропонованого Учасником Товару медико-технічним вимогам повинна бути обов’язково підтверджена технічним документом виробника (експлуатаційної документації: настанови з експлуатації, або інструкції, або технічного опису чи технічних умов, або інших документів українською мовою) в якому міститься ця інформація та надана у вигляді паспорту або інструкції користувача або інше українською мовою.</w:t>
      </w:r>
    </w:p>
    <w:p w:rsidR="00F723DD" w:rsidRPr="007E61EB" w:rsidRDefault="00F723DD" w:rsidP="00B42C54">
      <w:pPr>
        <w:autoSpaceDE w:val="0"/>
        <w:autoSpaceDN w:val="0"/>
        <w:ind w:firstLine="709"/>
        <w:jc w:val="both"/>
        <w:rPr>
          <w:lang w:eastAsia="zh-CN"/>
        </w:rPr>
      </w:pPr>
      <w:r w:rsidRPr="007E61EB">
        <w:rPr>
          <w:lang w:eastAsia="zh-CN"/>
        </w:rPr>
        <w:t xml:space="preserve">2. Учасник у складі тендерної пропозиції надає копію експлуатаційної документації українською мовою. </w:t>
      </w:r>
    </w:p>
    <w:p w:rsidR="00F723DD" w:rsidRDefault="00F723DD" w:rsidP="00B42C54">
      <w:pPr>
        <w:autoSpaceDE w:val="0"/>
        <w:autoSpaceDN w:val="0"/>
        <w:ind w:firstLine="709"/>
        <w:jc w:val="both"/>
        <w:rPr>
          <w:lang w:eastAsia="zh-CN"/>
        </w:rPr>
      </w:pPr>
      <w:r>
        <w:rPr>
          <w:lang w:eastAsia="zh-CN"/>
        </w:rPr>
        <w:t>3. 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 На підтвердження надати копію(ї) декларації(ій) (сертифікату(ів)) про відповідність запропонованого Учасником обладнання технічним регламентам України, завірену(і) належним чином.</w:t>
      </w:r>
    </w:p>
    <w:p w:rsidR="00F723DD" w:rsidRDefault="00F723DD" w:rsidP="00B42C54">
      <w:pPr>
        <w:autoSpaceDE w:val="0"/>
        <w:autoSpaceDN w:val="0"/>
        <w:ind w:firstLine="709"/>
        <w:jc w:val="both"/>
        <w:rPr>
          <w:lang w:eastAsia="zh-CN"/>
        </w:rPr>
      </w:pPr>
      <w:r>
        <w:rPr>
          <w:lang w:eastAsia="zh-CN"/>
        </w:rPr>
        <w:t>4. Запропоноване Учасником обладнання повинно бути новим та таким, що не було у використанні – на підтвердження Учасник повинен надати гарантійний лист у складі тендерної пропозиції.</w:t>
      </w:r>
    </w:p>
    <w:p w:rsidR="00F723DD" w:rsidRDefault="00F723DD" w:rsidP="00B42C54">
      <w:pPr>
        <w:autoSpaceDE w:val="0"/>
        <w:autoSpaceDN w:val="0"/>
        <w:ind w:firstLine="709"/>
        <w:jc w:val="both"/>
        <w:rPr>
          <w:lang w:eastAsia="zh-CN"/>
        </w:rPr>
      </w:pPr>
      <w:r>
        <w:rPr>
          <w:lang w:eastAsia="zh-CN"/>
        </w:rPr>
        <w:t xml:space="preserve">5. Гарантійний термін експлуатації товару, що є предметом закупівлі, повинен становити не менше ніж 12 місяців з дати введення в експлуатацію, на підтвердження чого Учасник повинен нада-ти гарантійний лист у складі тендерної пропозиції.  </w:t>
      </w:r>
    </w:p>
    <w:p w:rsidR="00F723DD" w:rsidRDefault="00F723DD" w:rsidP="00B42C54">
      <w:pPr>
        <w:autoSpaceDE w:val="0"/>
        <w:autoSpaceDN w:val="0"/>
        <w:ind w:firstLine="709"/>
        <w:jc w:val="both"/>
        <w:rPr>
          <w:lang w:eastAsia="zh-CN"/>
        </w:rPr>
      </w:pPr>
      <w:r>
        <w:rPr>
          <w:lang w:eastAsia="zh-CN"/>
        </w:rPr>
        <w:t>6. Сервісне обслуговування товару, запропонованого Учасником, повинно здійснюватися кваліфікованим(и) працівником(ами), який(і) має(ють) відповідні знання та навички. Для підтвердження надати гарантійний лист від учасника щодо наявності сервісної служби на території України.</w:t>
      </w:r>
    </w:p>
    <w:p w:rsidR="00F723DD" w:rsidRPr="00237724" w:rsidRDefault="00F723DD" w:rsidP="00B42C54">
      <w:pPr>
        <w:autoSpaceDE w:val="0"/>
        <w:autoSpaceDN w:val="0"/>
        <w:ind w:firstLine="709"/>
        <w:jc w:val="both"/>
        <w:rPr>
          <w:lang w:eastAsia="zh-CN"/>
        </w:rPr>
      </w:pPr>
      <w:r>
        <w:rPr>
          <w:lang w:eastAsia="zh-CN"/>
        </w:rPr>
        <w:t>7. З метою запобігання закупівлі фальсифікатів та дотримання гарантій на своєчасне постачання товару у кількості та якості, учасник надає оригінал гарантійного листа виробника (представництва, філії виробника, якщо їх відповідно повноваження поширюються на територію України), яким підтверджується можливість поставки предмету закупівлі цих електронних торгів у кількості та в терміни, визначені замовниками торгів. Гарантійний лист повинен включати: повну назву замовника та учасника, предмет закупівлі та номер оголошення про проведення закупівлі.</w:t>
      </w:r>
    </w:p>
    <w:p w:rsidR="00F723DD" w:rsidRPr="00FD07E1" w:rsidRDefault="00F723DD" w:rsidP="00B42C54"/>
    <w:p w:rsidR="00F723DD" w:rsidRDefault="00F723DD"/>
    <w:sectPr w:rsidR="00F723DD" w:rsidSect="004D06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0325B"/>
    <w:multiLevelType w:val="hybridMultilevel"/>
    <w:tmpl w:val="181AF27A"/>
    <w:lvl w:ilvl="0" w:tplc="0422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588"/>
    <w:rsid w:val="00037E8A"/>
    <w:rsid w:val="000B677D"/>
    <w:rsid w:val="001F2ACF"/>
    <w:rsid w:val="00237724"/>
    <w:rsid w:val="00351311"/>
    <w:rsid w:val="00417883"/>
    <w:rsid w:val="00460574"/>
    <w:rsid w:val="004D066B"/>
    <w:rsid w:val="004D6B25"/>
    <w:rsid w:val="00555EFD"/>
    <w:rsid w:val="00570F04"/>
    <w:rsid w:val="00644BEB"/>
    <w:rsid w:val="006B7699"/>
    <w:rsid w:val="007E61EB"/>
    <w:rsid w:val="00852C1D"/>
    <w:rsid w:val="00934260"/>
    <w:rsid w:val="00964588"/>
    <w:rsid w:val="00970488"/>
    <w:rsid w:val="00A13304"/>
    <w:rsid w:val="00A26028"/>
    <w:rsid w:val="00AE3D16"/>
    <w:rsid w:val="00B42C54"/>
    <w:rsid w:val="00C5677D"/>
    <w:rsid w:val="00C75053"/>
    <w:rsid w:val="00D2503D"/>
    <w:rsid w:val="00EE6330"/>
    <w:rsid w:val="00F723DD"/>
    <w:rsid w:val="00FD07E1"/>
    <w:rsid w:val="00FF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60"/>
    <w:pPr>
      <w:spacing w:after="200" w:line="276" w:lineRule="auto"/>
    </w:pPr>
    <w:rPr>
      <w:rFonts w:cs="Calibri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1404</Words>
  <Characters>8004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Дел3</dc:creator>
  <cp:keywords/>
  <dc:description/>
  <cp:lastModifiedBy>Инна</cp:lastModifiedBy>
  <cp:revision>3</cp:revision>
  <dcterms:created xsi:type="dcterms:W3CDTF">2024-03-01T09:08:00Z</dcterms:created>
  <dcterms:modified xsi:type="dcterms:W3CDTF">2024-03-04T08:32:00Z</dcterms:modified>
</cp:coreProperties>
</file>