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9C" w:rsidRPr="004303A3" w:rsidRDefault="005B519C" w:rsidP="005B519C">
      <w:pPr>
        <w:spacing w:after="0" w:line="240" w:lineRule="auto"/>
        <w:jc w:val="both"/>
        <w:rPr>
          <w:rFonts w:ascii="Times New Roman" w:hAnsi="Times New Roman" w:cs="Times New Roman"/>
          <w:sz w:val="10"/>
          <w:szCs w:val="26"/>
        </w:rPr>
      </w:pPr>
    </w:p>
    <w:p w:rsidR="005B519C" w:rsidRPr="00D72585" w:rsidRDefault="005B519C" w:rsidP="005B519C">
      <w:pPr>
        <w:spacing w:after="0" w:line="240" w:lineRule="auto"/>
        <w:jc w:val="center"/>
        <w:rPr>
          <w:rFonts w:ascii="Times New Roman" w:hAnsi="Times New Roman" w:cs="Times New Roman"/>
          <w:b/>
          <w:sz w:val="24"/>
          <w:szCs w:val="24"/>
        </w:rPr>
      </w:pPr>
      <w:r w:rsidRPr="00D72585">
        <w:rPr>
          <w:rFonts w:ascii="Times New Roman" w:hAnsi="Times New Roman" w:cs="Times New Roman"/>
          <w:b/>
          <w:sz w:val="24"/>
          <w:szCs w:val="24"/>
        </w:rPr>
        <w:t>ІНФОРМАЦІЯ ПРО НЕОБХІДНІ ТЕХНІЧНІ, ЯКІСНІ ТА КІЛЬКІСНІ ХАРАКТЕРИСТИКИ (ТЕХНІЧНІ ВИМОГИ) ПРОДУКТІВ ХАРЧУВАННЯ</w:t>
      </w:r>
    </w:p>
    <w:p w:rsidR="005B519C" w:rsidRPr="00D72585" w:rsidRDefault="005B519C" w:rsidP="00197588">
      <w:pPr>
        <w:tabs>
          <w:tab w:val="left" w:pos="3360"/>
        </w:tabs>
        <w:spacing w:after="120" w:line="240" w:lineRule="auto"/>
        <w:jc w:val="both"/>
        <w:rPr>
          <w:rFonts w:ascii="Times New Roman" w:hAnsi="Times New Roman" w:cs="Times New Roman"/>
          <w:b/>
          <w:sz w:val="24"/>
          <w:szCs w:val="24"/>
          <w:u w:val="single"/>
        </w:rPr>
      </w:pPr>
    </w:p>
    <w:tbl>
      <w:tblPr>
        <w:tblW w:w="15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1417"/>
        <w:gridCol w:w="1559"/>
        <w:gridCol w:w="1277"/>
        <w:gridCol w:w="7228"/>
        <w:gridCol w:w="1134"/>
        <w:gridCol w:w="1134"/>
        <w:gridCol w:w="1416"/>
      </w:tblGrid>
      <w:tr w:rsidR="00B11CA8" w:rsidRPr="004303A3" w:rsidTr="00B13023">
        <w:trPr>
          <w:cantSplit/>
        </w:trPr>
        <w:tc>
          <w:tcPr>
            <w:tcW w:w="455" w:type="dxa"/>
            <w:vAlign w:val="center"/>
          </w:tcPr>
          <w:p w:rsidR="00B11CA8" w:rsidRPr="004303A3" w:rsidRDefault="00B11CA8" w:rsidP="00B13023">
            <w:pPr>
              <w:spacing w:after="0" w:line="240" w:lineRule="auto"/>
              <w:ind w:left="-84" w:right="-108"/>
              <w:jc w:val="center"/>
              <w:rPr>
                <w:rFonts w:ascii="Times New Roman" w:hAnsi="Times New Roman"/>
                <w:color w:val="000000"/>
              </w:rPr>
            </w:pPr>
            <w:r w:rsidRPr="004303A3">
              <w:rPr>
                <w:rFonts w:ascii="Times New Roman" w:hAnsi="Times New Roman"/>
                <w:color w:val="000000"/>
              </w:rPr>
              <w:t>14</w:t>
            </w:r>
          </w:p>
        </w:tc>
        <w:tc>
          <w:tcPr>
            <w:tcW w:w="1417" w:type="dxa"/>
            <w:vAlign w:val="center"/>
          </w:tcPr>
          <w:p w:rsidR="00B11CA8" w:rsidRPr="004303A3" w:rsidRDefault="00B11CA8" w:rsidP="00B13023">
            <w:pPr>
              <w:spacing w:after="0" w:line="240" w:lineRule="auto"/>
              <w:ind w:left="-84" w:right="-108"/>
              <w:rPr>
                <w:rFonts w:ascii="Times New Roman" w:hAnsi="Times New Roman"/>
                <w:color w:val="000000"/>
              </w:rPr>
            </w:pPr>
            <w:r w:rsidRPr="004303A3">
              <w:rPr>
                <w:rFonts w:ascii="Times New Roman" w:hAnsi="Times New Roman"/>
                <w:color w:val="000000"/>
              </w:rPr>
              <w:t>15110000-2 М’ясо</w:t>
            </w:r>
          </w:p>
        </w:tc>
        <w:tc>
          <w:tcPr>
            <w:tcW w:w="1559" w:type="dxa"/>
            <w:vAlign w:val="center"/>
          </w:tcPr>
          <w:p w:rsidR="00B11CA8" w:rsidRPr="004303A3" w:rsidRDefault="00B11CA8" w:rsidP="0056747B">
            <w:pPr>
              <w:spacing w:after="0" w:line="240" w:lineRule="auto"/>
              <w:ind w:left="-84" w:right="-108"/>
              <w:rPr>
                <w:rFonts w:ascii="Times New Roman" w:hAnsi="Times New Roman"/>
                <w:color w:val="000000"/>
              </w:rPr>
            </w:pPr>
            <w:r w:rsidRPr="004303A3">
              <w:rPr>
                <w:rFonts w:ascii="Times New Roman" w:hAnsi="Times New Roman"/>
                <w:color w:val="000000"/>
              </w:rPr>
              <w:t>М’ясо свинини</w:t>
            </w:r>
          </w:p>
        </w:tc>
        <w:tc>
          <w:tcPr>
            <w:tcW w:w="1277" w:type="dxa"/>
            <w:vAlign w:val="center"/>
          </w:tcPr>
          <w:p w:rsidR="00B11CA8" w:rsidRPr="004303A3" w:rsidRDefault="00B11CA8" w:rsidP="0056747B">
            <w:pPr>
              <w:spacing w:after="0" w:line="240" w:lineRule="auto"/>
              <w:ind w:left="-104" w:right="-106"/>
              <w:jc w:val="center"/>
              <w:rPr>
                <w:rFonts w:ascii="Times New Roman" w:hAnsi="Times New Roman"/>
              </w:rPr>
            </w:pPr>
            <w:r w:rsidRPr="004303A3">
              <w:rPr>
                <w:rFonts w:ascii="Times New Roman" w:hAnsi="Times New Roman"/>
              </w:rPr>
              <w:t>ДСТУ 4590:2006</w:t>
            </w:r>
          </w:p>
        </w:tc>
        <w:tc>
          <w:tcPr>
            <w:tcW w:w="7228" w:type="dxa"/>
            <w:vAlign w:val="center"/>
          </w:tcPr>
          <w:p w:rsidR="00B11CA8" w:rsidRPr="004303A3" w:rsidRDefault="00B11CA8" w:rsidP="0056747B">
            <w:pPr>
              <w:pStyle w:val="Default"/>
              <w:ind w:left="-84"/>
              <w:jc w:val="both"/>
              <w:rPr>
                <w:bCs/>
                <w:sz w:val="20"/>
                <w:szCs w:val="20"/>
                <w:lang w:val="uk-UA"/>
              </w:rPr>
            </w:pPr>
            <w:r w:rsidRPr="004303A3">
              <w:rPr>
                <w:bCs/>
                <w:sz w:val="20"/>
                <w:szCs w:val="20"/>
                <w:lang w:val="uk-UA"/>
              </w:rPr>
              <w:t xml:space="preserve">Свинина </w:t>
            </w:r>
            <w:proofErr w:type="spellStart"/>
            <w:r w:rsidRPr="004303A3">
              <w:rPr>
                <w:bCs/>
                <w:sz w:val="20"/>
                <w:szCs w:val="20"/>
                <w:lang w:val="uk-UA"/>
              </w:rPr>
              <w:t>великошматкова</w:t>
            </w:r>
            <w:proofErr w:type="spellEnd"/>
            <w:r w:rsidRPr="004303A3">
              <w:rPr>
                <w:bCs/>
                <w:sz w:val="20"/>
                <w:szCs w:val="20"/>
                <w:lang w:val="uk-UA"/>
              </w:rPr>
              <w:t xml:space="preserve"> І категорії, без кістки.</w:t>
            </w:r>
          </w:p>
          <w:p w:rsidR="00B11CA8" w:rsidRPr="004303A3" w:rsidRDefault="00B11CA8" w:rsidP="0056747B">
            <w:pPr>
              <w:pStyle w:val="Default"/>
              <w:ind w:left="-84"/>
              <w:jc w:val="both"/>
              <w:rPr>
                <w:bCs/>
                <w:sz w:val="20"/>
                <w:szCs w:val="20"/>
                <w:lang w:val="uk-UA"/>
              </w:rPr>
            </w:pPr>
            <w:r w:rsidRPr="004303A3">
              <w:rPr>
                <w:bCs/>
                <w:sz w:val="20"/>
                <w:szCs w:val="20"/>
                <w:lang w:val="uk-UA"/>
              </w:rPr>
              <w:t>М’язи, відділені від тазової, крижової, стегнової кісток одним шматком, без хрящів, сухожилок. Краї зрівняні, без бахромок. Колір та запах характерні. Поверхня чиста, не завітрена, без ослизнення. Глибина надрізів м’язової тканини не більша ніж 10 мм.</w:t>
            </w:r>
          </w:p>
          <w:p w:rsidR="00B11CA8" w:rsidRPr="004303A3" w:rsidRDefault="00B11CA8" w:rsidP="0056747B">
            <w:pPr>
              <w:pStyle w:val="Default"/>
              <w:ind w:left="-84"/>
              <w:jc w:val="both"/>
              <w:rPr>
                <w:bCs/>
                <w:sz w:val="20"/>
                <w:szCs w:val="20"/>
                <w:lang w:val="uk-UA"/>
              </w:rPr>
            </w:pPr>
            <w:r w:rsidRPr="004303A3">
              <w:rPr>
                <w:bCs/>
                <w:sz w:val="20"/>
                <w:szCs w:val="20"/>
                <w:lang w:val="uk-UA"/>
              </w:rPr>
              <w:t>На момент поставки термін придатності до споживання товару повинен складати не менше ніж 80% від загального терміну придатності до споживання.</w:t>
            </w:r>
          </w:p>
          <w:p w:rsidR="00B11CA8" w:rsidRPr="004303A3" w:rsidRDefault="00B11CA8" w:rsidP="0056747B">
            <w:pPr>
              <w:pStyle w:val="Default"/>
              <w:ind w:left="-84"/>
              <w:jc w:val="both"/>
              <w:rPr>
                <w:bCs/>
                <w:sz w:val="20"/>
                <w:szCs w:val="20"/>
                <w:lang w:val="uk-UA"/>
              </w:rPr>
            </w:pPr>
            <w:r w:rsidRPr="004303A3">
              <w:rPr>
                <w:bCs/>
                <w:sz w:val="20"/>
                <w:szCs w:val="20"/>
                <w:lang w:val="uk-UA"/>
              </w:rPr>
              <w:t>Товар не повинен містити генетично модифіковані організми (ГМО), що обов’язково відображається на етикетці маркуванням «без ГМО».</w:t>
            </w:r>
          </w:p>
          <w:p w:rsidR="00B11CA8" w:rsidRPr="004303A3" w:rsidRDefault="00B11CA8" w:rsidP="0056747B">
            <w:pPr>
              <w:pStyle w:val="Default"/>
              <w:ind w:left="-84"/>
              <w:jc w:val="both"/>
              <w:rPr>
                <w:bCs/>
                <w:sz w:val="20"/>
                <w:szCs w:val="20"/>
                <w:lang w:val="uk-UA"/>
              </w:rPr>
            </w:pPr>
            <w:r w:rsidRPr="004303A3">
              <w:rPr>
                <w:bCs/>
                <w:sz w:val="20"/>
                <w:szCs w:val="20"/>
                <w:lang w:val="uk-UA"/>
              </w:rPr>
              <w:t>Упаковка виготовлена з дозволених матеріалів. На кожній одиниці фасування повинна бути наступна інформація: назва харчового продукту, назва та адреса підприємства-виробника, вага нетто, склад, дані про харчову та енергетичну цінність, дата виготовлення, термін придатності та умови зберігання.</w:t>
            </w:r>
          </w:p>
          <w:p w:rsidR="00B11CA8" w:rsidRPr="004303A3" w:rsidRDefault="00B11CA8" w:rsidP="0056747B">
            <w:pPr>
              <w:pStyle w:val="Default"/>
              <w:ind w:left="-84"/>
              <w:jc w:val="both"/>
              <w:rPr>
                <w:bCs/>
                <w:sz w:val="20"/>
                <w:szCs w:val="20"/>
                <w:lang w:val="uk-UA"/>
              </w:rPr>
            </w:pPr>
            <w:r w:rsidRPr="004303A3">
              <w:rPr>
                <w:bCs/>
                <w:sz w:val="20"/>
                <w:szCs w:val="20"/>
                <w:lang w:val="uk-UA"/>
              </w:rPr>
              <w:t>Фасування: упаковка для харчових продуктів - пакети або лотки з полімерних матеріалів, ящики з гофрованого картону або полімерні.</w:t>
            </w:r>
          </w:p>
        </w:tc>
        <w:tc>
          <w:tcPr>
            <w:tcW w:w="1134" w:type="dxa"/>
            <w:vAlign w:val="center"/>
          </w:tcPr>
          <w:p w:rsidR="00B11CA8" w:rsidRPr="004303A3" w:rsidRDefault="00B11CA8" w:rsidP="0056747B">
            <w:pPr>
              <w:spacing w:after="0" w:line="240" w:lineRule="auto"/>
              <w:jc w:val="center"/>
              <w:rPr>
                <w:rFonts w:ascii="Times New Roman" w:hAnsi="Times New Roman"/>
              </w:rPr>
            </w:pPr>
            <w:r w:rsidRPr="004303A3">
              <w:rPr>
                <w:rFonts w:ascii="Times New Roman" w:hAnsi="Times New Roman"/>
              </w:rPr>
              <w:t>кг</w:t>
            </w:r>
          </w:p>
        </w:tc>
        <w:tc>
          <w:tcPr>
            <w:tcW w:w="1134" w:type="dxa"/>
            <w:vAlign w:val="center"/>
          </w:tcPr>
          <w:p w:rsidR="00B11CA8" w:rsidRPr="004303A3" w:rsidRDefault="00B11CA8" w:rsidP="0056747B">
            <w:pPr>
              <w:spacing w:after="0" w:line="240" w:lineRule="auto"/>
              <w:jc w:val="center"/>
              <w:rPr>
                <w:rFonts w:ascii="Times New Roman" w:hAnsi="Times New Roman"/>
              </w:rPr>
            </w:pPr>
            <w:r w:rsidRPr="004303A3">
              <w:rPr>
                <w:rFonts w:ascii="Times New Roman" w:eastAsia="Times New Roman" w:hAnsi="Times New Roman" w:cs="Times New Roman"/>
              </w:rPr>
              <w:t>165</w:t>
            </w:r>
          </w:p>
        </w:tc>
        <w:tc>
          <w:tcPr>
            <w:tcW w:w="1416" w:type="dxa"/>
            <w:vAlign w:val="center"/>
          </w:tcPr>
          <w:p w:rsidR="00B11CA8" w:rsidRPr="004303A3" w:rsidRDefault="00B11CA8" w:rsidP="0056747B">
            <w:pPr>
              <w:spacing w:after="0" w:line="240" w:lineRule="auto"/>
              <w:jc w:val="center"/>
              <w:rPr>
                <w:rFonts w:ascii="Times New Roman" w:eastAsia="Times New Roman" w:hAnsi="Times New Roman" w:cs="Times New Roman"/>
              </w:rPr>
            </w:pPr>
            <w:r w:rsidRPr="004303A3">
              <w:rPr>
                <w:rFonts w:ascii="Times New Roman" w:eastAsia="Times New Roman" w:hAnsi="Times New Roman" w:cs="Times New Roman"/>
              </w:rPr>
              <w:t>два рази на тиждень</w:t>
            </w:r>
          </w:p>
        </w:tc>
      </w:tr>
    </w:tbl>
    <w:p w:rsidR="005B519C" w:rsidRPr="00D72585" w:rsidRDefault="005B519C" w:rsidP="004303A3">
      <w:pPr>
        <w:spacing w:after="120" w:line="240" w:lineRule="auto"/>
        <w:jc w:val="both"/>
        <w:rPr>
          <w:rFonts w:ascii="Times New Roman" w:hAnsi="Times New Roman" w:cs="Times New Roman"/>
          <w:i/>
          <w:iCs/>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У разі, якщо у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5B519C" w:rsidRPr="00D72585" w:rsidRDefault="005B519C" w:rsidP="005B519C">
      <w:pPr>
        <w:spacing w:after="0" w:line="240" w:lineRule="auto"/>
        <w:jc w:val="both"/>
        <w:rPr>
          <w:rFonts w:ascii="Times New Roman" w:hAnsi="Times New Roman"/>
          <w:sz w:val="24"/>
          <w:szCs w:val="24"/>
          <w:lang/>
        </w:rPr>
      </w:pPr>
      <w:r w:rsidRPr="00D72585">
        <w:rPr>
          <w:rFonts w:ascii="Times New Roman" w:hAnsi="Times New Roman"/>
          <w:sz w:val="24"/>
          <w:szCs w:val="24"/>
          <w:lang/>
        </w:rPr>
        <w:t>Умови поставки:</w:t>
      </w:r>
    </w:p>
    <w:p w:rsidR="005B519C" w:rsidRPr="00FB0DC5" w:rsidRDefault="005B519C" w:rsidP="005B519C">
      <w:pPr>
        <w:spacing w:after="0" w:line="240" w:lineRule="auto"/>
        <w:ind w:firstLine="709"/>
        <w:jc w:val="both"/>
        <w:rPr>
          <w:rFonts w:ascii="Times New Roman" w:hAnsi="Times New Roman"/>
          <w:sz w:val="24"/>
          <w:szCs w:val="24"/>
          <w:lang/>
        </w:rPr>
      </w:pPr>
      <w:r w:rsidRPr="00A63B81">
        <w:rPr>
          <w:rFonts w:ascii="Times New Roman" w:hAnsi="Times New Roman"/>
          <w:sz w:val="24"/>
          <w:szCs w:val="24"/>
          <w:lang/>
        </w:rPr>
        <w:t>1. Товар має постачатися дрібними партіями у кількості та асортименті згідно із заявками. Графік поставки – постачальник погоджує індивідуально, в за</w:t>
      </w:r>
      <w:r w:rsidR="00197588">
        <w:rPr>
          <w:rFonts w:ascii="Times New Roman" w:hAnsi="Times New Roman"/>
          <w:sz w:val="24"/>
          <w:szCs w:val="24"/>
          <w:lang/>
        </w:rPr>
        <w:t>лежності від потреби замовника</w:t>
      </w:r>
      <w:r w:rsidRPr="00A63B81">
        <w:rPr>
          <w:rFonts w:ascii="Times New Roman" w:hAnsi="Times New Roman"/>
          <w:sz w:val="24"/>
          <w:szCs w:val="24"/>
          <w:lang/>
        </w:rPr>
        <w:t>.</w:t>
      </w:r>
      <w:r>
        <w:rPr>
          <w:rFonts w:ascii="Times New Roman" w:hAnsi="Times New Roman"/>
          <w:sz w:val="24"/>
          <w:szCs w:val="24"/>
          <w:lang/>
        </w:rPr>
        <w:t xml:space="preserve"> Постачання здійснюється з 8-00 до 13-00, крім вихідних.</w:t>
      </w:r>
    </w:p>
    <w:p w:rsidR="005B519C" w:rsidRPr="004D2D4F" w:rsidRDefault="005B519C" w:rsidP="005B519C">
      <w:pPr>
        <w:spacing w:after="0" w:line="240" w:lineRule="auto"/>
        <w:ind w:firstLine="709"/>
        <w:jc w:val="both"/>
        <w:rPr>
          <w:rFonts w:ascii="Times New Roman" w:hAnsi="Times New Roman"/>
          <w:sz w:val="24"/>
          <w:szCs w:val="24"/>
          <w:lang/>
        </w:rPr>
      </w:pPr>
      <w:r w:rsidRPr="004D2D4F">
        <w:rPr>
          <w:rFonts w:ascii="Times New Roman" w:hAnsi="Times New Roman"/>
          <w:sz w:val="24"/>
          <w:szCs w:val="24"/>
          <w:lang/>
        </w:rPr>
        <w:t>2. Ціну вказати за 1 одиницю виміру з ПДВ (якщо учасник не платник ПДВ відповідно до чинного законодавства – ціна за 1 одиницю виміру - вказується без ПДВ).</w:t>
      </w:r>
    </w:p>
    <w:p w:rsidR="005B519C" w:rsidRPr="00D72585" w:rsidRDefault="005B519C" w:rsidP="005B519C">
      <w:pPr>
        <w:pStyle w:val="Default"/>
        <w:ind w:firstLine="709"/>
        <w:jc w:val="both"/>
        <w:rPr>
          <w:color w:val="auto"/>
          <w:lang w:val="uk-UA"/>
        </w:rPr>
      </w:pPr>
      <w:r w:rsidRPr="00D72585">
        <w:rPr>
          <w:color w:val="auto"/>
          <w:lang w:val="uk-UA"/>
        </w:rPr>
        <w:t>3. Якісні характеристики предмету закупівлі, що закуповується, повинні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p>
    <w:p w:rsidR="005B519C" w:rsidRPr="00D72585" w:rsidRDefault="005B519C" w:rsidP="005B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sidRPr="00D72585">
        <w:rPr>
          <w:rFonts w:ascii="Times New Roman" w:hAnsi="Times New Roman"/>
          <w:sz w:val="24"/>
          <w:szCs w:val="24"/>
          <w:lang/>
        </w:rPr>
        <w:t>4. Технічні характеристики предмету закупівлі, що закуповуються,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rsidR="005B519C" w:rsidRPr="00D72585" w:rsidRDefault="005B519C" w:rsidP="005B5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rPr>
      </w:pPr>
      <w:r w:rsidRPr="00D72585">
        <w:rPr>
          <w:rFonts w:ascii="Times New Roman" w:hAnsi="Times New Roman"/>
          <w:sz w:val="24"/>
          <w:szCs w:val="24"/>
          <w:lang/>
        </w:rPr>
        <w:t>Дотримання умов температурного режиму для продуктів харчування, які цього потребують при їх зберіганні та перевезенні.</w:t>
      </w:r>
    </w:p>
    <w:p w:rsidR="005B519C" w:rsidRPr="00D72585" w:rsidRDefault="005B519C" w:rsidP="005B519C">
      <w:pPr>
        <w:pStyle w:val="Default"/>
        <w:ind w:firstLine="709"/>
        <w:jc w:val="both"/>
        <w:rPr>
          <w:color w:val="auto"/>
          <w:lang w:val="uk-UA"/>
        </w:rPr>
      </w:pPr>
      <w:r w:rsidRPr="00D72585">
        <w:rPr>
          <w:color w:val="auto"/>
          <w:lang w:val="uk-UA"/>
        </w:rPr>
        <w:t>5. 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завірені належним чином, що засвідчують якість та безпеку запропонованої в повному обсязі продукції, що є предметом закупівлі, наявність яких передбачена чинним законодавством (сертифікати відповідності та/або посвідчення про якість та/або декларація про якість, експертні висновки, висновки санітарно-епідеміологічної експертизи (СЕС) (у разі наявності) та/або довідки).</w:t>
      </w:r>
    </w:p>
    <w:p w:rsidR="005B519C" w:rsidRPr="00D72585" w:rsidRDefault="005B519C" w:rsidP="005B519C">
      <w:pPr>
        <w:spacing w:after="0" w:line="240" w:lineRule="auto"/>
        <w:ind w:firstLine="709"/>
        <w:jc w:val="both"/>
        <w:rPr>
          <w:rFonts w:ascii="Times New Roman" w:hAnsi="Times New Roman"/>
          <w:sz w:val="24"/>
          <w:szCs w:val="24"/>
          <w:lang/>
        </w:rPr>
      </w:pPr>
      <w:r w:rsidRPr="00D72585">
        <w:rPr>
          <w:rFonts w:ascii="Times New Roman" w:hAnsi="Times New Roman"/>
          <w:sz w:val="24"/>
          <w:szCs w:val="24"/>
          <w:lang/>
        </w:rPr>
        <w:t xml:space="preserve">6. В </w:t>
      </w:r>
      <w:r w:rsidRPr="00D72585">
        <w:rPr>
          <w:rFonts w:ascii="Times New Roman" w:hAnsi="Times New Roman"/>
          <w:sz w:val="24"/>
          <w:szCs w:val="24"/>
        </w:rPr>
        <w:t xml:space="preserve">ДНП «Національний інститут раку» </w:t>
      </w:r>
      <w:r w:rsidRPr="00D72585">
        <w:rPr>
          <w:rFonts w:ascii="Times New Roman" w:hAnsi="Times New Roman"/>
          <w:sz w:val="24"/>
          <w:szCs w:val="24"/>
          <w:lang/>
        </w:rPr>
        <w:t>забороняється завозити недоброякісний товар або товар з терміном придатності, що минув.</w:t>
      </w:r>
    </w:p>
    <w:p w:rsidR="005B519C" w:rsidRPr="00D72585" w:rsidRDefault="005B519C" w:rsidP="005B519C">
      <w:pPr>
        <w:spacing w:after="0" w:line="240" w:lineRule="auto"/>
        <w:ind w:firstLine="709"/>
        <w:jc w:val="both"/>
        <w:rPr>
          <w:rFonts w:ascii="Times New Roman" w:hAnsi="Times New Roman"/>
          <w:sz w:val="24"/>
          <w:szCs w:val="24"/>
        </w:rPr>
      </w:pPr>
      <w:r w:rsidRPr="00D72585">
        <w:rPr>
          <w:rFonts w:ascii="Times New Roman" w:hAnsi="Times New Roman"/>
          <w:sz w:val="24"/>
          <w:szCs w:val="24"/>
        </w:rPr>
        <w:t>На недоброякісний товар складається акт і він повертається постачальнику.</w:t>
      </w:r>
    </w:p>
    <w:p w:rsidR="005B519C" w:rsidRPr="00D72585" w:rsidRDefault="005B519C" w:rsidP="005B519C">
      <w:pPr>
        <w:spacing w:after="0" w:line="240" w:lineRule="auto"/>
        <w:ind w:firstLine="709"/>
        <w:jc w:val="both"/>
        <w:rPr>
          <w:rFonts w:ascii="Times New Roman" w:hAnsi="Times New Roman"/>
          <w:sz w:val="24"/>
          <w:szCs w:val="24"/>
        </w:rPr>
      </w:pPr>
      <w:r w:rsidRPr="00D72585">
        <w:rPr>
          <w:rFonts w:ascii="Times New Roman" w:hAnsi="Times New Roman"/>
          <w:sz w:val="24"/>
          <w:szCs w:val="24"/>
        </w:rPr>
        <w:lastRenderedPageBreak/>
        <w:t>У разі виявлення недоброякісного товару постачальник зобов’язаний замінити цей товар на якісний протягом 8 годин.</w:t>
      </w:r>
    </w:p>
    <w:p w:rsidR="005B519C" w:rsidRPr="00D72585" w:rsidRDefault="005B519C" w:rsidP="005B519C">
      <w:pPr>
        <w:spacing w:after="0" w:line="240" w:lineRule="auto"/>
        <w:ind w:firstLine="709"/>
        <w:jc w:val="both"/>
        <w:rPr>
          <w:rFonts w:ascii="Times New Roman" w:hAnsi="Times New Roman"/>
          <w:sz w:val="24"/>
          <w:szCs w:val="24"/>
          <w:lang/>
        </w:rPr>
      </w:pPr>
      <w:r w:rsidRPr="00D72585">
        <w:rPr>
          <w:rFonts w:ascii="Times New Roman" w:hAnsi="Times New Roman"/>
          <w:sz w:val="24"/>
          <w:szCs w:val="24"/>
        </w:rPr>
        <w:t xml:space="preserve">7. </w:t>
      </w:r>
      <w:r w:rsidRPr="00D72585">
        <w:rPr>
          <w:rFonts w:ascii="Times New Roman" w:hAnsi="Times New Roman"/>
          <w:sz w:val="24"/>
          <w:szCs w:val="24"/>
          <w:lang/>
        </w:rPr>
        <w:t>Поставка товару має здійснюватися на автотранспорті, що призначений та обладнаний для перевезення харчових продуктів і за рахунок постачальника. Автомобіль, що перевозить харчові продукти, повинен бути забезпечений санітарним паспортом.</w:t>
      </w:r>
    </w:p>
    <w:p w:rsidR="005B519C" w:rsidRPr="00D72585" w:rsidRDefault="005B519C" w:rsidP="005B519C">
      <w:pPr>
        <w:spacing w:after="0" w:line="240" w:lineRule="auto"/>
        <w:ind w:firstLine="709"/>
        <w:jc w:val="both"/>
        <w:rPr>
          <w:rFonts w:ascii="Times New Roman" w:hAnsi="Times New Roman"/>
          <w:sz w:val="24"/>
          <w:szCs w:val="24"/>
          <w:lang/>
        </w:rPr>
      </w:pPr>
      <w:r w:rsidRPr="00D72585">
        <w:rPr>
          <w:rFonts w:ascii="Times New Roman" w:hAnsi="Times New Roman"/>
          <w:sz w:val="24"/>
          <w:szCs w:val="24"/>
          <w:lang/>
        </w:rPr>
        <w:t xml:space="preserve">8. Постачальник забезпечує належне санітарне утримання виробничих приміщень, обладнання, </w:t>
      </w:r>
      <w:proofErr w:type="spellStart"/>
      <w:r w:rsidRPr="00D72585">
        <w:rPr>
          <w:rFonts w:ascii="Times New Roman" w:hAnsi="Times New Roman"/>
          <w:sz w:val="24"/>
          <w:szCs w:val="24"/>
          <w:lang/>
        </w:rPr>
        <w:t>інвентаря</w:t>
      </w:r>
      <w:proofErr w:type="spellEnd"/>
      <w:r w:rsidRPr="00D72585">
        <w:rPr>
          <w:rFonts w:ascii="Times New Roman" w:hAnsi="Times New Roman"/>
          <w:sz w:val="24"/>
          <w:szCs w:val="24"/>
          <w:lang/>
        </w:rPr>
        <w:t>, а також контролює дотримання працівниками постачальника правил особистої гігієни.</w:t>
      </w:r>
    </w:p>
    <w:p w:rsidR="005B519C" w:rsidRPr="00D72585" w:rsidRDefault="005B519C" w:rsidP="005B519C">
      <w:pPr>
        <w:spacing w:after="0" w:line="240" w:lineRule="auto"/>
        <w:ind w:firstLine="709"/>
        <w:jc w:val="both"/>
        <w:rPr>
          <w:rFonts w:ascii="Times New Roman" w:hAnsi="Times New Roman"/>
          <w:sz w:val="24"/>
          <w:szCs w:val="24"/>
        </w:rPr>
      </w:pPr>
      <w:r w:rsidRPr="00D72585">
        <w:rPr>
          <w:rFonts w:ascii="Times New Roman" w:hAnsi="Times New Roman"/>
          <w:sz w:val="24"/>
          <w:szCs w:val="24"/>
        </w:rPr>
        <w:t xml:space="preserve">9. Водій та особи, які супроводжують продукти в дорозі і виконують </w:t>
      </w:r>
      <w:proofErr w:type="spellStart"/>
      <w:r w:rsidRPr="00D72585">
        <w:rPr>
          <w:rFonts w:ascii="Times New Roman" w:hAnsi="Times New Roman"/>
          <w:sz w:val="24"/>
          <w:szCs w:val="24"/>
        </w:rPr>
        <w:t>навантажувальні–розвантажувальні</w:t>
      </w:r>
      <w:proofErr w:type="spellEnd"/>
      <w:r w:rsidRPr="00D72585">
        <w:rPr>
          <w:rFonts w:ascii="Times New Roman" w:hAnsi="Times New Roman"/>
          <w:sz w:val="24"/>
          <w:szCs w:val="24"/>
        </w:rPr>
        <w:t xml:space="preserve"> роботи повинні мати медичну книжку з результатами проходження обов'язкових медичних оглядів та забезпечені спецодягом.</w:t>
      </w:r>
    </w:p>
    <w:p w:rsidR="005B519C" w:rsidRPr="00D72585" w:rsidRDefault="005B519C" w:rsidP="005B519C">
      <w:pPr>
        <w:spacing w:after="0" w:line="240" w:lineRule="auto"/>
        <w:ind w:firstLine="709"/>
        <w:jc w:val="both"/>
        <w:rPr>
          <w:rFonts w:ascii="Times New Roman" w:hAnsi="Times New Roman"/>
          <w:sz w:val="24"/>
          <w:szCs w:val="24"/>
        </w:rPr>
      </w:pPr>
      <w:r w:rsidRPr="00D72585">
        <w:rPr>
          <w:rFonts w:ascii="Times New Roman" w:hAnsi="Times New Roman"/>
          <w:sz w:val="24"/>
          <w:szCs w:val="24"/>
        </w:rPr>
        <w:t>10. Постачальник самостійно проводить розвантажувальні роботи в спеціальні приміщення вказані в заявках.</w:t>
      </w:r>
    </w:p>
    <w:p w:rsidR="005B519C" w:rsidRPr="00D72585" w:rsidRDefault="005B519C" w:rsidP="005B519C">
      <w:pPr>
        <w:spacing w:after="0" w:line="240" w:lineRule="auto"/>
        <w:ind w:firstLine="709"/>
        <w:jc w:val="both"/>
        <w:rPr>
          <w:rFonts w:ascii="Times New Roman" w:hAnsi="Times New Roman"/>
          <w:sz w:val="24"/>
          <w:szCs w:val="24"/>
        </w:rPr>
      </w:pPr>
      <w:r w:rsidRPr="00D72585">
        <w:rPr>
          <w:rFonts w:ascii="Times New Roman" w:hAnsi="Times New Roman"/>
          <w:sz w:val="24"/>
          <w:szCs w:val="24"/>
        </w:rPr>
        <w:t>11. Учасник повинен в складі тендерної пропозиції додатково надати гарантійний лист щодо забезпечення належних умов зберігання та транспортування товару з обов’язковим зазначенням адреси складських приміщень.</w:t>
      </w:r>
    </w:p>
    <w:p w:rsidR="00AF5738" w:rsidRDefault="00AF5738" w:rsidP="005B519C">
      <w:pPr>
        <w:spacing w:after="0" w:line="240" w:lineRule="auto"/>
        <w:jc w:val="both"/>
        <w:rPr>
          <w:rFonts w:ascii="Times New Roman" w:hAnsi="Times New Roman" w:cs="Times New Roman"/>
          <w:szCs w:val="24"/>
        </w:rPr>
      </w:pPr>
    </w:p>
    <w:p w:rsidR="004303A3" w:rsidRPr="005259D2" w:rsidRDefault="004303A3" w:rsidP="005B519C">
      <w:pPr>
        <w:spacing w:after="0" w:line="240" w:lineRule="auto"/>
        <w:jc w:val="both"/>
        <w:rPr>
          <w:rFonts w:ascii="Times New Roman" w:hAnsi="Times New Roman" w:cs="Times New Roman"/>
          <w:szCs w:val="24"/>
        </w:rPr>
      </w:pPr>
    </w:p>
    <w:p w:rsidR="005B519C" w:rsidRPr="00D72585" w:rsidRDefault="005B519C" w:rsidP="00AF5738">
      <w:pPr>
        <w:spacing w:after="0" w:line="240" w:lineRule="auto"/>
        <w:ind w:left="5245" w:hanging="5245"/>
        <w:jc w:val="both"/>
        <w:rPr>
          <w:rFonts w:ascii="Times New Roman" w:hAnsi="Times New Roman" w:cs="Times New Roman"/>
          <w:sz w:val="24"/>
          <w:szCs w:val="24"/>
        </w:rPr>
      </w:pPr>
    </w:p>
    <w:sectPr w:rsidR="005B519C" w:rsidRPr="00D72585" w:rsidSect="00197588">
      <w:footerReference w:type="default" r:id="rId6"/>
      <w:pgSz w:w="16838" w:h="11906" w:orient="landscape"/>
      <w:pgMar w:top="1134" w:right="567" w:bottom="567" w:left="851"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DE" w:rsidRDefault="00B66BDE" w:rsidP="00481693">
      <w:pPr>
        <w:spacing w:after="0" w:line="240" w:lineRule="auto"/>
      </w:pPr>
      <w:r>
        <w:separator/>
      </w:r>
    </w:p>
  </w:endnote>
  <w:endnote w:type="continuationSeparator" w:id="0">
    <w:p w:rsidR="00B66BDE" w:rsidRDefault="00B66BDE" w:rsidP="00481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46542913"/>
      <w:docPartObj>
        <w:docPartGallery w:val="Page Numbers (Bottom of Page)"/>
        <w:docPartUnique/>
      </w:docPartObj>
    </w:sdtPr>
    <w:sdtContent>
      <w:p w:rsidR="0036077C" w:rsidRPr="00481693" w:rsidRDefault="000614C1">
        <w:pPr>
          <w:pStyle w:val="a5"/>
          <w:jc w:val="right"/>
          <w:rPr>
            <w:rFonts w:ascii="Times New Roman" w:hAnsi="Times New Roman" w:cs="Times New Roman"/>
          </w:rPr>
        </w:pPr>
        <w:r w:rsidRPr="00481693">
          <w:rPr>
            <w:rFonts w:ascii="Times New Roman" w:hAnsi="Times New Roman" w:cs="Times New Roman"/>
          </w:rPr>
          <w:fldChar w:fldCharType="begin"/>
        </w:r>
        <w:r w:rsidR="0036077C" w:rsidRPr="00481693">
          <w:rPr>
            <w:rFonts w:ascii="Times New Roman" w:hAnsi="Times New Roman" w:cs="Times New Roman"/>
          </w:rPr>
          <w:instrText>PAGE   \* MERGEFORMAT</w:instrText>
        </w:r>
        <w:r w:rsidRPr="00481693">
          <w:rPr>
            <w:rFonts w:ascii="Times New Roman" w:hAnsi="Times New Roman" w:cs="Times New Roman"/>
          </w:rPr>
          <w:fldChar w:fldCharType="separate"/>
        </w:r>
        <w:r w:rsidR="00B11CA8" w:rsidRPr="00B11CA8">
          <w:rPr>
            <w:rFonts w:ascii="Times New Roman" w:hAnsi="Times New Roman" w:cs="Times New Roman"/>
            <w:noProof/>
            <w:lang w:val="ru-RU"/>
          </w:rPr>
          <w:t>1</w:t>
        </w:r>
        <w:r w:rsidRPr="00481693">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DE" w:rsidRDefault="00B66BDE" w:rsidP="00481693">
      <w:pPr>
        <w:spacing w:after="0" w:line="240" w:lineRule="auto"/>
      </w:pPr>
      <w:r>
        <w:separator/>
      </w:r>
    </w:p>
  </w:footnote>
  <w:footnote w:type="continuationSeparator" w:id="0">
    <w:p w:rsidR="00B66BDE" w:rsidRDefault="00B66BDE" w:rsidP="004816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4A3C"/>
    <w:rsid w:val="000614C1"/>
    <w:rsid w:val="0016191B"/>
    <w:rsid w:val="00197588"/>
    <w:rsid w:val="0036077C"/>
    <w:rsid w:val="00400B47"/>
    <w:rsid w:val="004303A3"/>
    <w:rsid w:val="00481693"/>
    <w:rsid w:val="00564A3C"/>
    <w:rsid w:val="005B519C"/>
    <w:rsid w:val="007A0649"/>
    <w:rsid w:val="00AF5738"/>
    <w:rsid w:val="00B11CA8"/>
    <w:rsid w:val="00B13023"/>
    <w:rsid w:val="00B66BDE"/>
    <w:rsid w:val="00D8539C"/>
    <w:rsid w:val="00DA1D0F"/>
    <w:rsid w:val="00E4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3C"/>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4A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header"/>
    <w:basedOn w:val="a"/>
    <w:link w:val="a4"/>
    <w:uiPriority w:val="99"/>
    <w:unhideWhenUsed/>
    <w:rsid w:val="0048169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81693"/>
    <w:rPr>
      <w:rFonts w:eastAsiaTheme="minorEastAsia"/>
      <w:lang w:eastAsia="uk-UA"/>
    </w:rPr>
  </w:style>
  <w:style w:type="paragraph" w:styleId="a5">
    <w:name w:val="footer"/>
    <w:basedOn w:val="a"/>
    <w:link w:val="a6"/>
    <w:uiPriority w:val="99"/>
    <w:unhideWhenUsed/>
    <w:rsid w:val="0048169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81693"/>
    <w:rPr>
      <w:rFonts w:eastAsiaTheme="minorEastAsia"/>
      <w:lang w:eastAsia="uk-UA"/>
    </w:rPr>
  </w:style>
  <w:style w:type="paragraph" w:styleId="a7">
    <w:name w:val="Balloon Text"/>
    <w:basedOn w:val="a"/>
    <w:link w:val="a8"/>
    <w:uiPriority w:val="99"/>
    <w:semiHidden/>
    <w:unhideWhenUsed/>
    <w:rsid w:val="00DA1D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1D0F"/>
    <w:rPr>
      <w:rFonts w:ascii="Segoe UI" w:eastAsiaTheme="minorEastAsia"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divs>
    <w:div w:id="19337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632</Words>
  <Characters>3604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Атаманов</dc:creator>
  <cp:keywords/>
  <dc:description/>
  <cp:lastModifiedBy>Пользователь Windows</cp:lastModifiedBy>
  <cp:revision>4</cp:revision>
  <cp:lastPrinted>2023-03-20T08:30:00Z</cp:lastPrinted>
  <dcterms:created xsi:type="dcterms:W3CDTF">2023-03-20T06:53:00Z</dcterms:created>
  <dcterms:modified xsi:type="dcterms:W3CDTF">2023-03-23T22:00:00Z</dcterms:modified>
</cp:coreProperties>
</file>