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F74298" w:rsidRDefault="00F249F3" w:rsidP="004C327E">
            <w:pPr>
              <w:pBdr>
                <w:top w:val="nil"/>
                <w:left w:val="nil"/>
                <w:bottom w:val="nil"/>
                <w:right w:val="nil"/>
                <w:between w:val="nil"/>
              </w:pBdr>
              <w:shd w:val="clear" w:color="auto" w:fill="FFFFFF"/>
              <w:ind w:left="851"/>
              <w:rPr>
                <w:bCs/>
              </w:rPr>
            </w:pPr>
            <w:bookmarkStart w:id="0" w:name="_Hlk131684989"/>
            <w:r w:rsidRPr="00F74298">
              <w:rPr>
                <w:bCs/>
              </w:rPr>
              <w:t>«ЗАТВЕРДЖЕНО»:</w:t>
            </w:r>
          </w:p>
          <w:p w14:paraId="5C3BD7AA" w14:textId="77777777" w:rsidR="00F249F3" w:rsidRPr="00F74298" w:rsidRDefault="00F249F3" w:rsidP="004C327E">
            <w:pPr>
              <w:pBdr>
                <w:top w:val="nil"/>
                <w:left w:val="nil"/>
                <w:bottom w:val="nil"/>
                <w:right w:val="nil"/>
                <w:between w:val="nil"/>
              </w:pBdr>
              <w:shd w:val="clear" w:color="auto" w:fill="FFFFFF"/>
              <w:ind w:left="851"/>
              <w:rPr>
                <w:bCs/>
              </w:rPr>
            </w:pPr>
            <w:r w:rsidRPr="00F74298">
              <w:rPr>
                <w:bCs/>
              </w:rPr>
              <w:t>Рішенням Уповноваженої особи</w:t>
            </w:r>
            <w:r w:rsidRPr="00F74298">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4E3B3A0C" w:rsidR="00F249F3" w:rsidRPr="00F74298" w:rsidRDefault="00F249F3" w:rsidP="004C327E">
            <w:pPr>
              <w:pBdr>
                <w:top w:val="nil"/>
                <w:left w:val="nil"/>
                <w:bottom w:val="nil"/>
                <w:right w:val="nil"/>
                <w:between w:val="nil"/>
              </w:pBdr>
              <w:shd w:val="clear" w:color="auto" w:fill="FFFFFF"/>
              <w:ind w:left="851"/>
            </w:pPr>
            <w:r w:rsidRPr="00F74298">
              <w:t xml:space="preserve">Протокол </w:t>
            </w:r>
            <w:r w:rsidR="00534ACE" w:rsidRPr="00F74298">
              <w:t xml:space="preserve">№ </w:t>
            </w:r>
            <w:r w:rsidR="00F74298" w:rsidRPr="00AF28BE">
              <w:t>18</w:t>
            </w:r>
            <w:r w:rsidRPr="00AF28BE">
              <w:t xml:space="preserve"> від </w:t>
            </w:r>
            <w:r w:rsidR="00AF28BE" w:rsidRPr="00AF28BE">
              <w:t>22</w:t>
            </w:r>
            <w:r w:rsidR="00F74298" w:rsidRPr="00AF28BE">
              <w:t>.03.2024</w:t>
            </w:r>
            <w:r w:rsidR="00B33040" w:rsidRPr="00F74298">
              <w:t xml:space="preserve"> </w:t>
            </w:r>
            <w:r w:rsidRPr="00F74298">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7740B543" w14:textId="24AE93E8" w:rsidR="00B301A7" w:rsidRPr="00B301A7" w:rsidRDefault="00B301A7" w:rsidP="004C327E">
      <w:pPr>
        <w:tabs>
          <w:tab w:val="left" w:pos="3654"/>
        </w:tabs>
        <w:jc w:val="center"/>
        <w:rPr>
          <w:b/>
          <w:snapToGrid w:val="0"/>
          <w:kern w:val="28"/>
        </w:rPr>
      </w:pPr>
      <w:bookmarkStart w:id="1" w:name="_Hlk131684945"/>
      <w:r w:rsidRPr="00B301A7">
        <w:rPr>
          <w:b/>
          <w:snapToGrid w:val="0"/>
          <w:kern w:val="28"/>
        </w:rPr>
        <w:t>щодо проведення процедури відкритих торгів</w:t>
      </w:r>
      <w:r w:rsidR="004C39EA">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DC98AE8" w14:textId="7846CBFE" w:rsidR="00B301A7" w:rsidRPr="00F22BD1" w:rsidRDefault="00B301A7" w:rsidP="00F22BD1">
      <w:pPr>
        <w:tabs>
          <w:tab w:val="left" w:pos="3654"/>
        </w:tabs>
        <w:jc w:val="center"/>
        <w:rPr>
          <w:rFonts w:eastAsia="Calibri"/>
          <w:b/>
          <w:bCs/>
          <w:shd w:val="clear" w:color="auto" w:fill="FFFFFF"/>
          <w:lang w:eastAsia="en-US"/>
        </w:rPr>
      </w:pPr>
      <w:bookmarkStart w:id="2" w:name="_Hlk129767012"/>
      <w:r w:rsidRPr="00F22BD1">
        <w:rPr>
          <w:rFonts w:eastAsia="Calibri"/>
          <w:b/>
          <w:shd w:val="clear" w:color="auto" w:fill="FFFFFF"/>
          <w:lang w:eastAsia="en-US"/>
        </w:rPr>
        <w:t>«</w:t>
      </w:r>
      <w:bookmarkEnd w:id="2"/>
      <w:r w:rsidR="00F22BD1" w:rsidRPr="00F22BD1">
        <w:rPr>
          <w:rFonts w:eastAsia="Calibri"/>
          <w:b/>
          <w:bCs/>
          <w:shd w:val="clear" w:color="auto" w:fill="FFFFFF"/>
          <w:lang w:eastAsia="en-US"/>
        </w:rPr>
        <w:t>Поточний ремонт автодоріг Дружківської територіальної громади</w:t>
      </w:r>
      <w:r w:rsidRPr="00F22BD1">
        <w:rPr>
          <w:rFonts w:eastAsia="Calibri"/>
          <w:b/>
          <w:bCs/>
          <w:shd w:val="clear" w:color="auto" w:fill="FFFFFF"/>
          <w:lang w:eastAsia="en-US"/>
        </w:rPr>
        <w:t>»</w:t>
      </w:r>
    </w:p>
    <w:p w14:paraId="139D583B" w14:textId="60792E5A" w:rsidR="00B301A7" w:rsidRDefault="00B301A7" w:rsidP="004C327E">
      <w:pPr>
        <w:tabs>
          <w:tab w:val="left" w:pos="3654"/>
        </w:tabs>
        <w:jc w:val="center"/>
        <w:rPr>
          <w:rFonts w:eastAsia="Calibri"/>
          <w:b/>
          <w:bCs/>
          <w:shd w:val="clear" w:color="auto" w:fill="FFFFFF"/>
          <w:lang w:eastAsia="en-US"/>
        </w:rPr>
      </w:pPr>
      <w:r w:rsidRPr="00F22BD1">
        <w:rPr>
          <w:rFonts w:eastAsia="Calibri"/>
          <w:b/>
          <w:bCs/>
          <w:shd w:val="clear" w:color="auto" w:fill="FFFFFF"/>
          <w:lang w:eastAsia="en-US"/>
        </w:rPr>
        <w:t xml:space="preserve"> код ДК 021:2015 45233142-6 - ремонт доріг</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2D117E3D" w14:textId="77777777" w:rsidR="00B301A7" w:rsidRPr="00B301A7" w:rsidRDefault="00B301A7" w:rsidP="004C327E">
      <w:pPr>
        <w:suppressAutoHyphens/>
        <w:autoSpaceDE w:val="0"/>
        <w:jc w:val="center"/>
        <w:rPr>
          <w:rFonts w:eastAsia="Arial Unicode MS"/>
          <w:b/>
          <w:bCs/>
          <w:lang w:eastAsia="ar-SA"/>
        </w:rPr>
      </w:pPr>
    </w:p>
    <w:p w14:paraId="14B2363C" w14:textId="77777777" w:rsidR="00B301A7" w:rsidRPr="00B301A7" w:rsidRDefault="00B301A7"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566D3A03" w:rsidR="002A5340" w:rsidRPr="007D44F0" w:rsidRDefault="00D20CB0" w:rsidP="004C327E">
            <w:pPr>
              <w:keepLines/>
              <w:autoSpaceDE w:val="0"/>
              <w:autoSpaceDN w:val="0"/>
              <w:jc w:val="both"/>
              <w:rPr>
                <w:color w:val="000000"/>
                <w:highlight w:val="yellow"/>
              </w:rPr>
            </w:pPr>
            <w:bookmarkStart w:id="3" w:name="_Hlk130279240"/>
            <w:r w:rsidRPr="00D20CB0">
              <w:rPr>
                <w:color w:val="000000"/>
              </w:rPr>
              <w:t xml:space="preserve">Поточний ремонт автодоріг Дружківської територіальної громади </w:t>
            </w:r>
            <w:r w:rsidR="00F249F3" w:rsidRPr="00D20CB0">
              <w:rPr>
                <w:color w:val="000000"/>
              </w:rPr>
              <w:t>(</w:t>
            </w:r>
            <w:r w:rsidR="00076DE0" w:rsidRPr="00D20CB0">
              <w:rPr>
                <w:color w:val="000000"/>
              </w:rPr>
              <w:t xml:space="preserve">код ДК 021:2015 </w:t>
            </w:r>
            <w:r w:rsidR="00F249F3" w:rsidRPr="00D20CB0">
              <w:rPr>
                <w:shd w:val="clear" w:color="auto" w:fill="FFFFFF"/>
              </w:rPr>
              <w:t>45233142-6 - ремонт доріг)</w:t>
            </w:r>
            <w:bookmarkEnd w:id="3"/>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4" w:name="_heading=h.30j0zll" w:colFirst="0" w:colLast="0"/>
            <w:bookmarkEnd w:id="4"/>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49A4D6D9"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2</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4A9EB988" w:rsidR="002A5340" w:rsidRPr="005E665C" w:rsidRDefault="002A5340" w:rsidP="004C327E">
            <w:pPr>
              <w:widowControl w:val="0"/>
              <w:shd w:val="clear" w:color="auto" w:fill="FFFFFF"/>
            </w:pPr>
            <w:r w:rsidRPr="005E665C">
              <w:t>строки надання послуг</w:t>
            </w:r>
          </w:p>
        </w:tc>
        <w:tc>
          <w:tcPr>
            <w:tcW w:w="6659" w:type="dxa"/>
            <w:shd w:val="clear" w:color="auto" w:fill="FFFFFF"/>
          </w:tcPr>
          <w:p w14:paraId="0000005C" w14:textId="2B09E925"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2009E8">
              <w:rPr>
                <w:bCs/>
                <w:color w:val="000000"/>
              </w:rPr>
              <w:t>01.07.2024</w:t>
            </w:r>
            <w:r w:rsidR="00023B88" w:rsidRPr="00F161AD">
              <w:rPr>
                <w:bCs/>
                <w:color w:val="000000"/>
              </w:rPr>
              <w:t xml:space="preserve"> року</w:t>
            </w:r>
            <w:r w:rsidR="006E7D57" w:rsidRPr="006E7D57">
              <w:rPr>
                <w:lang w:eastAsia="ru-RU"/>
              </w:rPr>
              <w:t xml:space="preserve"> </w:t>
            </w:r>
            <w:r w:rsidR="006E7D57">
              <w:rPr>
                <w:lang w:val="ru-RU" w:eastAsia="ru-RU"/>
              </w:rPr>
              <w:t>(с</w:t>
            </w:r>
            <w:r w:rsidR="006E7D57" w:rsidRPr="006E7D57">
              <w:rPr>
                <w:lang w:eastAsia="ru-RU"/>
              </w:rPr>
              <w:t>троки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Інформація про валюту, у якій повинна 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5"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5E665C">
              <w:rPr>
                <w:color w:val="000000"/>
                <w:shd w:val="solid" w:color="FFFFFF" w:fill="FFFFFF"/>
              </w:rPr>
              <w:lastRenderedPageBreak/>
              <w:t>рішення про їх внесення.</w:t>
            </w:r>
          </w:p>
        </w:tc>
      </w:tr>
      <w:bookmarkEnd w:id="5"/>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2872C0E" w14:textId="48F3F938" w:rsidR="00913CDA" w:rsidRPr="00D0160E" w:rsidRDefault="00913CDA" w:rsidP="004C327E">
            <w:pPr>
              <w:widowControl w:val="0"/>
              <w:ind w:hanging="21"/>
              <w:contextualSpacing/>
              <w:jc w:val="both"/>
            </w:pPr>
            <w:r w:rsidRPr="00D0160E">
              <w:rPr>
                <w:shd w:val="clear" w:color="auto" w:fill="FFFFFF"/>
              </w:rPr>
              <w:t xml:space="preserve"> </w:t>
            </w:r>
            <w:r w:rsidRPr="00D0160E">
              <w:t xml:space="preserve">- </w:t>
            </w:r>
            <w:bookmarkStart w:id="6" w:name="_Hlk117508279"/>
            <w:r w:rsidRPr="00D0160E">
              <w:t>інформаці</w:t>
            </w:r>
            <w:r w:rsidR="00FB33B0">
              <w:t>я</w:t>
            </w:r>
            <w:r w:rsidRPr="00D0160E">
              <w:t xml:space="preserve"> та документ</w:t>
            </w:r>
            <w:r w:rsidR="00FB33B0">
              <w:t>и</w:t>
            </w:r>
            <w:r w:rsidRPr="00D0160E">
              <w:t xml:space="preserve">, що підтверджують відповідність учасника кваліфікаційним критеріям </w:t>
            </w:r>
            <w:bookmarkEnd w:id="6"/>
            <w:r w:rsidRPr="00D0160E">
              <w:t xml:space="preserve">- </w:t>
            </w:r>
            <w:r w:rsidRPr="00560CB7">
              <w:rPr>
                <w:b/>
                <w:bCs/>
              </w:rPr>
              <w:t>Додаток 1</w:t>
            </w:r>
            <w:r w:rsidRPr="00560CB7">
              <w:t>;</w:t>
            </w:r>
            <w:r w:rsidRPr="00D0160E">
              <w:t xml:space="preserve"> </w:t>
            </w:r>
          </w:p>
          <w:p w14:paraId="46B20FAB" w14:textId="694F2C76" w:rsidR="00913CDA" w:rsidRPr="00D0160E" w:rsidRDefault="00913CDA" w:rsidP="004C327E">
            <w:pPr>
              <w:widowControl w:val="0"/>
              <w:ind w:hanging="21"/>
              <w:contextualSpacing/>
              <w:jc w:val="both"/>
            </w:pPr>
            <w:r w:rsidRPr="00D0160E">
              <w:t xml:space="preserve">- </w:t>
            </w:r>
            <w:r w:rsidR="00417E62" w:rsidRPr="00D0160E">
              <w:t>інформаці</w:t>
            </w:r>
            <w:r w:rsidR="00FB33B0">
              <w:t>я</w:t>
            </w:r>
            <w:r w:rsidR="00417E62" w:rsidRPr="00D0160E">
              <w:t xml:space="preserve"> щодо відсутності підстав, установлених в пункті 4</w:t>
            </w:r>
            <w:r w:rsidR="0086209A" w:rsidRPr="0086209A">
              <w:rPr>
                <w:lang w:val="ru-RU"/>
              </w:rPr>
              <w:t>7</w:t>
            </w:r>
            <w:r w:rsidR="00417E62" w:rsidRPr="00D0160E">
              <w:t xml:space="preserve"> Особливостей </w:t>
            </w:r>
            <w:r w:rsidRPr="00560CB7">
              <w:t xml:space="preserve">- </w:t>
            </w:r>
            <w:r w:rsidRPr="00560CB7">
              <w:rPr>
                <w:b/>
                <w:bCs/>
              </w:rPr>
              <w:t xml:space="preserve">Додаток </w:t>
            </w:r>
            <w:r w:rsidR="008864C4" w:rsidRPr="00560CB7">
              <w:rPr>
                <w:b/>
                <w:bCs/>
              </w:rPr>
              <w:t>1</w:t>
            </w:r>
            <w:r w:rsidRPr="00560CB7">
              <w:t>;</w:t>
            </w:r>
          </w:p>
          <w:p w14:paraId="380FF341" w14:textId="3874A686" w:rsidR="00913CDA" w:rsidRPr="00D0160E" w:rsidRDefault="00913CDA" w:rsidP="004C327E">
            <w:pPr>
              <w:widowControl w:val="0"/>
              <w:ind w:hanging="21"/>
              <w:contextualSpacing/>
              <w:jc w:val="both"/>
            </w:pPr>
            <w:r w:rsidRPr="00D0160E">
              <w:t xml:space="preserve">- </w:t>
            </w:r>
            <w:r w:rsidRPr="00D0160E">
              <w:rPr>
                <w:shd w:val="clear" w:color="auto" w:fill="FFFFFF"/>
              </w:rPr>
              <w:t>інформаці</w:t>
            </w:r>
            <w:r w:rsidR="00FB33B0">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560CB7">
              <w:rPr>
                <w:b/>
                <w:bCs/>
                <w:lang w:eastAsia="ru-RU"/>
              </w:rPr>
              <w:t xml:space="preserve">Додаток </w:t>
            </w:r>
            <w:r w:rsidR="008864C4" w:rsidRPr="00560CB7">
              <w:rPr>
                <w:b/>
                <w:bCs/>
                <w:lang w:eastAsia="ru-RU"/>
              </w:rPr>
              <w:t>2</w:t>
            </w:r>
            <w:r w:rsidRPr="00560CB7">
              <w:t>;</w:t>
            </w:r>
          </w:p>
          <w:p w14:paraId="56F3E02D" w14:textId="4A8F77D0" w:rsidR="00913CDA" w:rsidRPr="00D0160E" w:rsidRDefault="00913CDA" w:rsidP="004C327E">
            <w:pPr>
              <w:widowControl w:val="0"/>
              <w:ind w:hanging="21"/>
              <w:contextualSpacing/>
              <w:jc w:val="both"/>
            </w:pPr>
            <w:r w:rsidRPr="00D0160E">
              <w:t>-</w:t>
            </w:r>
            <w:r w:rsidR="00FB33B0">
              <w:t xml:space="preserve">  </w:t>
            </w:r>
            <w:r w:rsidRPr="00D0160E">
              <w:t xml:space="preserve"> інші документи, які вимагаються замовником - </w:t>
            </w:r>
            <w:r w:rsidRPr="00560CB7">
              <w:rPr>
                <w:b/>
                <w:bCs/>
              </w:rPr>
              <w:t xml:space="preserve">Додаток </w:t>
            </w:r>
            <w:r w:rsidR="008864C4" w:rsidRPr="00560CB7">
              <w:rPr>
                <w:b/>
                <w:bCs/>
              </w:rPr>
              <w:t>1</w:t>
            </w:r>
            <w:r w:rsidRPr="00560CB7">
              <w:t>;</w:t>
            </w:r>
          </w:p>
          <w:p w14:paraId="02EB8307" w14:textId="4B1C6081" w:rsidR="007D07B1" w:rsidRPr="00D0160E" w:rsidRDefault="00913CDA" w:rsidP="004C327E">
            <w:pPr>
              <w:widowControl w:val="0"/>
              <w:ind w:hanging="21"/>
              <w:contextualSpacing/>
              <w:jc w:val="both"/>
            </w:pPr>
            <w:r w:rsidRPr="00D0160E">
              <w:t>-</w:t>
            </w:r>
            <w:r w:rsidR="007D07B1">
              <w:t xml:space="preserve"> </w:t>
            </w:r>
            <w:r w:rsidRPr="00D0160E">
              <w:t>проект договору, підписан</w:t>
            </w:r>
            <w:r w:rsidR="006C4394">
              <w:t>ий</w:t>
            </w:r>
            <w:r w:rsidR="00417E62" w:rsidRPr="00D0160E">
              <w:t xml:space="preserve"> учасником</w:t>
            </w:r>
            <w:r w:rsidRPr="00D0160E">
              <w:t xml:space="preserve"> та оформлен</w:t>
            </w:r>
            <w:r w:rsidR="006C4394">
              <w:t>ий</w:t>
            </w:r>
            <w:r w:rsidRPr="00D0160E">
              <w:t xml:space="preserve"> згідно із</w:t>
            </w:r>
            <w:r w:rsidRPr="00D0160E">
              <w:rPr>
                <w:b/>
                <w:bCs/>
              </w:rPr>
              <w:t xml:space="preserve"> </w:t>
            </w:r>
            <w:r w:rsidRPr="006B016B">
              <w:rPr>
                <w:b/>
                <w:bCs/>
              </w:rPr>
              <w:t xml:space="preserve">Додатком </w:t>
            </w:r>
            <w:r w:rsidR="008864C4" w:rsidRPr="006B016B">
              <w:rPr>
                <w:b/>
                <w:bCs/>
              </w:rPr>
              <w:t>3</w:t>
            </w:r>
            <w:r w:rsidRPr="00D0160E">
              <w:t xml:space="preserve">  до тендерної документації.</w:t>
            </w:r>
          </w:p>
          <w:p w14:paraId="0784BCC9" w14:textId="75E0D0BB" w:rsidR="00417E62" w:rsidRPr="00417E62" w:rsidRDefault="00417E62" w:rsidP="004C327E">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77777777"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5B2BF3DE" w:rsidR="00913CDA" w:rsidRPr="005E665C" w:rsidRDefault="00913CDA" w:rsidP="004C327E">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w:t>
            </w:r>
            <w:r w:rsidRPr="005E665C">
              <w:lastRenderedPageBreak/>
              <w:t>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7" w:name="bookmark=id.1fob9te" w:colFirst="0" w:colLast="0"/>
            <w:bookmarkEnd w:id="7"/>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87891A" w14:textId="77777777" w:rsidR="008E0FC9" w:rsidRPr="008E0FC9" w:rsidRDefault="008E0FC9" w:rsidP="004C327E">
            <w:pPr>
              <w:widowControl w:val="0"/>
              <w:pBdr>
                <w:top w:val="nil"/>
                <w:left w:val="nil"/>
                <w:bottom w:val="nil"/>
                <w:right w:val="nil"/>
                <w:between w:val="nil"/>
              </w:pBdr>
              <w:jc w:val="both"/>
            </w:pPr>
            <w:r w:rsidRPr="008E0FC9">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E0FC9">
              <w:lastRenderedPageBreak/>
              <w:t>правопорушення або правопорушення, пов’язаного з корупцією;</w:t>
            </w:r>
          </w:p>
          <w:p w14:paraId="6FA38076" w14:textId="77777777" w:rsidR="008E0FC9" w:rsidRPr="008E0FC9" w:rsidRDefault="008E0FC9" w:rsidP="004C327E">
            <w:pPr>
              <w:widowControl w:val="0"/>
              <w:pBdr>
                <w:top w:val="nil"/>
                <w:left w:val="nil"/>
                <w:bottom w:val="nil"/>
                <w:right w:val="nil"/>
                <w:between w:val="nil"/>
              </w:pBdr>
              <w:jc w:val="both"/>
            </w:pPr>
            <w:r w:rsidRPr="008E0FC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841CC9" w14:textId="77777777" w:rsidR="008E0FC9" w:rsidRPr="008E0FC9" w:rsidRDefault="008E0FC9" w:rsidP="004C327E">
            <w:pPr>
              <w:widowControl w:val="0"/>
              <w:pBdr>
                <w:top w:val="nil"/>
                <w:left w:val="nil"/>
                <w:bottom w:val="nil"/>
                <w:right w:val="nil"/>
                <w:between w:val="nil"/>
              </w:pBdr>
              <w:jc w:val="both"/>
            </w:pPr>
            <w:r w:rsidRPr="008E0FC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77777777" w:rsidR="008E0FC9" w:rsidRPr="008E0FC9" w:rsidRDefault="008E0FC9" w:rsidP="004C327E">
            <w:pPr>
              <w:widowControl w:val="0"/>
              <w:pBdr>
                <w:top w:val="nil"/>
                <w:left w:val="nil"/>
                <w:bottom w:val="nil"/>
                <w:right w:val="nil"/>
                <w:between w:val="nil"/>
              </w:pBdr>
              <w:jc w:val="both"/>
            </w:pPr>
            <w:r w:rsidRPr="008E0F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77777777" w:rsidR="008E0FC9" w:rsidRPr="008E0FC9" w:rsidRDefault="008E0FC9" w:rsidP="004C327E">
            <w:pPr>
              <w:widowControl w:val="0"/>
              <w:pBdr>
                <w:top w:val="nil"/>
                <w:left w:val="nil"/>
                <w:bottom w:val="nil"/>
                <w:right w:val="nil"/>
                <w:between w:val="nil"/>
              </w:pBdr>
              <w:jc w:val="both"/>
            </w:pPr>
            <w:r w:rsidRPr="008E0F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77777777" w:rsidR="008E0FC9" w:rsidRPr="008E0FC9" w:rsidRDefault="008E0FC9" w:rsidP="004C327E">
            <w:pPr>
              <w:widowControl w:val="0"/>
              <w:pBdr>
                <w:top w:val="nil"/>
                <w:left w:val="nil"/>
                <w:bottom w:val="nil"/>
                <w:right w:val="nil"/>
                <w:between w:val="nil"/>
              </w:pBdr>
              <w:jc w:val="both"/>
            </w:pPr>
            <w:r w:rsidRPr="008E0FC9">
              <w:t>8) 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77777777" w:rsidR="008E0FC9" w:rsidRPr="008E0FC9" w:rsidRDefault="008E0FC9" w:rsidP="004C327E">
            <w:pPr>
              <w:widowControl w:val="0"/>
              <w:pBdr>
                <w:top w:val="nil"/>
                <w:left w:val="nil"/>
                <w:bottom w:val="nil"/>
                <w:right w:val="nil"/>
                <w:between w:val="nil"/>
              </w:pBdr>
              <w:jc w:val="both"/>
            </w:pPr>
            <w:r w:rsidRPr="008E0F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53762AD1" w:rsidR="008E0FC9" w:rsidRPr="008E0FC9" w:rsidRDefault="008E0FC9" w:rsidP="004C327E">
            <w:pPr>
              <w:widowControl w:val="0"/>
              <w:pBdr>
                <w:top w:val="nil"/>
                <w:left w:val="nil"/>
                <w:bottom w:val="nil"/>
                <w:right w:val="nil"/>
                <w:between w:val="nil"/>
              </w:pBdr>
              <w:jc w:val="both"/>
            </w:pPr>
            <w:r w:rsidRPr="008E0FC9">
              <w:t>11) </w:t>
            </w:r>
            <w:r w:rsidR="00C667D8" w:rsidRPr="00C667D8">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E0FC9">
              <w:t>;</w:t>
            </w:r>
          </w:p>
          <w:p w14:paraId="58D8C9B4" w14:textId="77777777" w:rsidR="008E0FC9" w:rsidRPr="008E0FC9" w:rsidRDefault="008E0FC9" w:rsidP="004C327E">
            <w:pPr>
              <w:widowControl w:val="0"/>
              <w:pBdr>
                <w:top w:val="nil"/>
                <w:left w:val="nil"/>
                <w:bottom w:val="nil"/>
                <w:right w:val="nil"/>
                <w:between w:val="nil"/>
              </w:pBdr>
              <w:jc w:val="both"/>
            </w:pPr>
            <w:r w:rsidRPr="008E0F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8E0FC9">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205F86EC" w:rsidR="002F2D0A" w:rsidRPr="00D71D1E" w:rsidRDefault="000B4D14" w:rsidP="004C327E">
            <w:pPr>
              <w:jc w:val="both"/>
              <w:rPr>
                <w:color w:val="000000"/>
              </w:rPr>
            </w:pPr>
            <w:r>
              <w:rPr>
                <w:highlight w:val="white"/>
              </w:rPr>
              <w:t xml:space="preserve">5.4. </w:t>
            </w:r>
            <w:r w:rsidR="00433E69" w:rsidRPr="00433E6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8E0FC9" w:rsidRPr="008E0FC9">
              <w:rPr>
                <w:highlight w:val="white"/>
              </w:rPr>
              <w:t>.</w:t>
            </w:r>
          </w:p>
        </w:tc>
      </w:tr>
      <w:tr w:rsidR="005E1F29" w:rsidRPr="005E665C" w14:paraId="1E668035" w14:textId="77777777">
        <w:trPr>
          <w:trHeight w:val="520"/>
          <w:jc w:val="center"/>
        </w:trPr>
        <w:tc>
          <w:tcPr>
            <w:tcW w:w="576" w:type="dxa"/>
            <w:shd w:val="clear" w:color="auto" w:fill="FFFFFF"/>
          </w:tcPr>
          <w:p w14:paraId="740727C5" w14:textId="5D512B2C" w:rsidR="005E1F29" w:rsidRPr="006B016B" w:rsidRDefault="005E1F29" w:rsidP="004C327E">
            <w:pPr>
              <w:widowControl w:val="0"/>
              <w:shd w:val="clear" w:color="auto" w:fill="FFFFFF"/>
              <w:rPr>
                <w:b/>
                <w:bCs/>
              </w:rPr>
            </w:pPr>
            <w:r w:rsidRPr="006B016B">
              <w:rPr>
                <w:b/>
                <w:bCs/>
              </w:rPr>
              <w:lastRenderedPageBreak/>
              <w:t>6</w:t>
            </w:r>
          </w:p>
        </w:tc>
        <w:tc>
          <w:tcPr>
            <w:tcW w:w="2797" w:type="dxa"/>
            <w:shd w:val="clear" w:color="auto" w:fill="FFFFFF"/>
          </w:tcPr>
          <w:p w14:paraId="2E1824AA" w14:textId="77777777" w:rsidR="005E1F29" w:rsidRPr="005E665C" w:rsidRDefault="005E1F29" w:rsidP="004C327E">
            <w:pPr>
              <w:widowControl w:val="0"/>
              <w:contextualSpacing/>
              <w:rPr>
                <w:b/>
              </w:rPr>
            </w:pPr>
            <w:r w:rsidRPr="005E665C">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5E665C" w:rsidRDefault="005E1F29" w:rsidP="004C327E">
            <w:pPr>
              <w:widowControl w:val="0"/>
              <w:contextualSpacing/>
              <w:rPr>
                <w:b/>
              </w:rPr>
            </w:pPr>
            <w:r w:rsidRPr="005E665C">
              <w:rPr>
                <w:b/>
              </w:rPr>
              <w:t>інформація про інші документи, які вимагаються учасником</w:t>
            </w:r>
          </w:p>
        </w:tc>
        <w:tc>
          <w:tcPr>
            <w:tcW w:w="6659" w:type="dxa"/>
            <w:shd w:val="clear" w:color="auto" w:fill="FFFFFF"/>
          </w:tcPr>
          <w:p w14:paraId="390FC4C3" w14:textId="4D147AAD"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8864C4">
              <w:rPr>
                <w:b/>
                <w:bCs/>
              </w:rPr>
              <w:t>2</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2905ADD2" w14:textId="61C9F4FD" w:rsidR="000B4D14" w:rsidRPr="00CD2E6E" w:rsidRDefault="005E665C" w:rsidP="004C327E">
            <w:pPr>
              <w:widowControl w:val="0"/>
              <w:contextualSpacing/>
              <w:jc w:val="both"/>
            </w:pPr>
            <w:r>
              <w:rPr>
                <w:rStyle w:val="64"/>
              </w:rPr>
              <w:t xml:space="preserve">6.2. </w:t>
            </w:r>
            <w:r w:rsidR="000B4D14" w:rsidRPr="00CD2E6E">
              <w:t xml:space="preserve">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w:t>
            </w:r>
            <w:r w:rsidR="000B4D14" w:rsidRPr="00D0160E">
              <w:t xml:space="preserve">листа-гарантії наступного змісту: </w:t>
            </w:r>
            <w:r w:rsidR="000B4D14" w:rsidRPr="00D0160E">
              <w:rPr>
                <w:bCs/>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000B4D14" w:rsidRPr="00D0160E">
              <w:rPr>
                <w:b/>
              </w:rPr>
              <w:t xml:space="preserve">Додатку </w:t>
            </w:r>
            <w:r w:rsidR="008864C4" w:rsidRPr="00D0160E">
              <w:rPr>
                <w:b/>
              </w:rPr>
              <w:t>2</w:t>
            </w:r>
            <w:r w:rsidR="000B4D14" w:rsidRPr="00D0160E">
              <w:rPr>
                <w:bCs/>
                <w:color w:val="FF0000"/>
              </w:rPr>
              <w:t xml:space="preserve"> </w:t>
            </w:r>
            <w:r w:rsidR="000B4D14" w:rsidRPr="00D0160E">
              <w:rPr>
                <w:bCs/>
              </w:rPr>
              <w:t>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59EA0A02" w14:textId="778CB27B" w:rsidR="000B4D14" w:rsidRPr="00CD2E6E" w:rsidRDefault="000B4D14" w:rsidP="004C327E">
            <w:pPr>
              <w:widowControl w:val="0"/>
              <w:contextualSpacing/>
              <w:jc w:val="both"/>
            </w:pPr>
            <w:r>
              <w:t xml:space="preserve">6.3. </w:t>
            </w:r>
            <w:r w:rsidRPr="00CD2E6E">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28EDBD4" w14:textId="08194132" w:rsidR="000B4D14" w:rsidRPr="00CD2E6E" w:rsidRDefault="000B4D14" w:rsidP="004C327E">
            <w:pPr>
              <w:ind w:left="34" w:right="85"/>
              <w:jc w:val="both"/>
            </w:pPr>
            <w:r>
              <w:lastRenderedPageBreak/>
              <w:t xml:space="preserve">6.4. </w:t>
            </w:r>
            <w:r w:rsidRPr="00CD2E6E">
              <w:t>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4F2A7494" w14:textId="476EA303" w:rsidR="00A06DE8" w:rsidRDefault="000B4D14" w:rsidP="004C327E">
            <w:pPr>
              <w:pStyle w:val="Standard"/>
              <w:jc w:val="both"/>
            </w:pPr>
            <w:r w:rsidRPr="006B016B">
              <w:rPr>
                <w:lang w:val="uk-UA"/>
              </w:rPr>
              <w:t>Ціна пропозиції повинна бути розрахована відповідно до наказу Мінрегіону №</w:t>
            </w:r>
            <w:r w:rsidR="006B016B">
              <w:rPr>
                <w:lang w:val="uk-UA"/>
              </w:rPr>
              <w:t xml:space="preserve"> </w:t>
            </w:r>
            <w:r w:rsidRPr="006B016B">
              <w:rPr>
                <w:lang w:val="uk-UA"/>
              </w:rPr>
              <w:t>281 від 01.11.2021 року, яким затверджено Кошторисні норми України у будівництві.</w:t>
            </w:r>
            <w:r w:rsidRPr="00CD2E6E">
              <w:t xml:space="preserve">  </w:t>
            </w:r>
            <w:r w:rsidR="00A06DE8">
              <w:rPr>
                <w:rFonts w:cs="Arial"/>
                <w:spacing w:val="-3"/>
                <w:lang w:val="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AC72589" w14:textId="77777777" w:rsidR="00A06DE8" w:rsidRDefault="00A06DE8" w:rsidP="004C327E">
            <w:pPr>
              <w:pStyle w:val="Standard"/>
              <w:jc w:val="both"/>
            </w:pPr>
            <w:r>
              <w:rPr>
                <w:rFonts w:cs="Arial"/>
                <w:spacing w:val="-3"/>
                <w:lang w:val="uk-UA"/>
              </w:rPr>
              <w:t>Витрати учасника пов’язанні з підготовкою та поданням пропозиції не відшкодовуються.</w:t>
            </w:r>
          </w:p>
          <w:p w14:paraId="22C4B76E" w14:textId="7D63602A" w:rsidR="00A06DE8" w:rsidRPr="00D0160E" w:rsidRDefault="00A06DE8" w:rsidP="004C327E">
            <w:pPr>
              <w:pStyle w:val="Standard"/>
              <w:jc w:val="both"/>
            </w:pPr>
            <w:r w:rsidRPr="00D0160E">
              <w:rPr>
                <w:rFonts w:cs="Arial"/>
                <w:spacing w:val="-3"/>
                <w:lang w:val="uk-UA"/>
              </w:rPr>
              <w:t xml:space="preserve">Учасник при розрахунку договірної ціни на </w:t>
            </w:r>
            <w:r w:rsidR="00A036F1">
              <w:rPr>
                <w:rFonts w:cs="Arial"/>
                <w:spacing w:val="-3"/>
                <w:lang w:val="uk-UA"/>
              </w:rPr>
              <w:t>виконання робіт</w:t>
            </w:r>
            <w:r w:rsidRPr="00D0160E">
              <w:rPr>
                <w:rFonts w:cs="Arial"/>
                <w:spacing w:val="-3"/>
                <w:lang w:val="uk-UA"/>
              </w:rPr>
              <w:t xml:space="preserve"> за предметом закупівлі з усіма розрахунками, виконаними у відповідності до законодавства та норм надає</w:t>
            </w:r>
            <w:r w:rsidR="006C4394">
              <w:rPr>
                <w:rFonts w:cs="Arial"/>
                <w:spacing w:val="-3"/>
                <w:lang w:val="uk-UA"/>
              </w:rPr>
              <w:t xml:space="preserve"> у складі тендерної пропозиції</w:t>
            </w:r>
            <w:r w:rsidR="006C4394" w:rsidRPr="006C4394">
              <w:rPr>
                <w:rFonts w:eastAsia="Times New Roman" w:cs="Times New Roman"/>
                <w:highlight w:val="white"/>
                <w:lang w:val="uk-UA" w:eastAsia="uk-UA" w:bidi="ar-SA"/>
              </w:rPr>
              <w:t xml:space="preserve"> </w:t>
            </w:r>
            <w:r w:rsidR="006C4394" w:rsidRPr="006C4394">
              <w:rPr>
                <w:rFonts w:cs="Arial"/>
                <w:spacing w:val="-3"/>
                <w:lang w:val="uk-UA"/>
              </w:rPr>
              <w:t>через електронну систему закупівель</w:t>
            </w:r>
            <w:r w:rsidRPr="00D0160E">
              <w:rPr>
                <w:rFonts w:cs="Arial"/>
                <w:spacing w:val="-3"/>
                <w:lang w:val="uk-UA"/>
              </w:rPr>
              <w:t>: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r w:rsidR="00F16464">
              <w:rPr>
                <w:rFonts w:cs="Arial"/>
                <w:spacing w:val="-3"/>
                <w:lang w:val="uk-UA"/>
              </w:rPr>
              <w:t xml:space="preserve">, </w:t>
            </w:r>
            <w:r w:rsidR="00F16464">
              <w:rPr>
                <w:lang w:val="uk-UA"/>
              </w:rPr>
              <w:t>розрахунок заробітної плати</w:t>
            </w:r>
            <w:r w:rsidRPr="00D0160E">
              <w:rPr>
                <w:rFonts w:cs="Arial"/>
                <w:spacing w:val="-3"/>
                <w:lang w:val="uk-UA"/>
              </w:rPr>
              <w:t>.</w:t>
            </w:r>
          </w:p>
          <w:p w14:paraId="6FBDCD33" w14:textId="0549050A" w:rsidR="00A06DE8" w:rsidRPr="00D0160E" w:rsidRDefault="00A06DE8" w:rsidP="004C327E">
            <w:pPr>
              <w:pStyle w:val="Standard"/>
              <w:jc w:val="both"/>
            </w:pPr>
            <w:r w:rsidRPr="00D0160E">
              <w:rPr>
                <w:rFonts w:cs="Arial"/>
                <w:spacing w:val="-3"/>
                <w:lang w:val="uk-UA"/>
              </w:rPr>
              <w:t xml:space="preserve">Учасник повинен підтвердити наявність в нього програмного </w:t>
            </w:r>
            <w:r w:rsidR="00BF1020">
              <w:rPr>
                <w:rFonts w:cs="Arial"/>
                <w:spacing w:val="-3"/>
                <w:lang w:val="uk-UA"/>
              </w:rPr>
              <w:t>комплексу</w:t>
            </w:r>
            <w:r w:rsidRPr="00D0160E">
              <w:rPr>
                <w:rFonts w:cs="Arial"/>
                <w:spacing w:val="-3"/>
                <w:lang w:val="uk-UA"/>
              </w:rPr>
              <w:t xml:space="preserve"> </w:t>
            </w:r>
            <w:r w:rsidR="00BF1020">
              <w:rPr>
                <w:rFonts w:cs="Arial"/>
                <w:spacing w:val="-3"/>
                <w:lang w:val="uk-UA"/>
              </w:rPr>
              <w:t>для автоматизованого визначення вартості будівельних робіт.</w:t>
            </w:r>
          </w:p>
          <w:p w14:paraId="5F76205A" w14:textId="77777777" w:rsidR="00A06DE8" w:rsidRPr="00D0160E" w:rsidRDefault="00A06DE8" w:rsidP="004C327E">
            <w:pPr>
              <w:pStyle w:val="Standard"/>
              <w:jc w:val="both"/>
            </w:pPr>
            <w:r w:rsidRPr="00D0160E">
              <w:rPr>
                <w:rFonts w:cs="Arial"/>
                <w:spacing w:val="-3"/>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145F2DF0" w14:textId="0FD2B322" w:rsidR="000B4D14" w:rsidRPr="00CD2E6E" w:rsidRDefault="000B4D14" w:rsidP="004C327E">
            <w:pPr>
              <w:ind w:right="85"/>
              <w:jc w:val="both"/>
            </w:pPr>
            <w:r w:rsidRPr="00D0160E">
              <w:t>Вид договірної ціни – тверда. Договірна ціна, за</w:t>
            </w:r>
            <w:r w:rsidRPr="00CD2E6E">
              <w:t xml:space="preserve">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2721127" w14:textId="77777777" w:rsidR="000B4D14" w:rsidRPr="00D0160E" w:rsidRDefault="000B4D14" w:rsidP="004C327E">
            <w:pPr>
              <w:ind w:left="34" w:right="85"/>
              <w:jc w:val="both"/>
            </w:pPr>
            <w:r w:rsidRPr="00CD2E6E">
              <w:rPr>
                <w:color w:val="000000"/>
              </w:rPr>
              <w:t xml:space="preserve">Учасник відповідає </w:t>
            </w:r>
            <w:r w:rsidRPr="00D0160E">
              <w:rPr>
                <w:color w:val="000000"/>
              </w:rPr>
              <w:t>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0D08CB28" w14:textId="77777777" w:rsidR="000B4D14" w:rsidRPr="00D0160E" w:rsidRDefault="000B4D14" w:rsidP="004C327E">
            <w:pPr>
              <w:ind w:left="34" w:right="85"/>
              <w:jc w:val="both"/>
            </w:pPr>
            <w:r w:rsidRPr="00D0160E">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256663AC" w14:textId="09A41242" w:rsidR="000B4D14" w:rsidRPr="00D0160E" w:rsidRDefault="000B4D14" w:rsidP="004C327E">
            <w:pPr>
              <w:ind w:left="34" w:right="85"/>
              <w:jc w:val="both"/>
            </w:pPr>
            <w:r w:rsidRPr="00D0160E">
              <w:t>Під час здійснення поточного ремонту необхідно застосовувати заходи із захисту довкілля, зокрема:</w:t>
            </w:r>
          </w:p>
          <w:p w14:paraId="640A826B" w14:textId="77777777" w:rsidR="000B4D14" w:rsidRPr="00CD2E6E" w:rsidRDefault="000B4D14" w:rsidP="004C327E">
            <w:pPr>
              <w:ind w:left="34" w:right="85"/>
              <w:jc w:val="both"/>
            </w:pPr>
            <w:r w:rsidRPr="00D0160E">
              <w:t>- не допускати розливу нафтопродуктів, мастил</w:t>
            </w:r>
            <w:r w:rsidRPr="00CD2E6E">
              <w:t xml:space="preserve"> та інших хімічних речовин на ґрунт, асфальтове покриття;</w:t>
            </w:r>
          </w:p>
          <w:p w14:paraId="023A20E9" w14:textId="77777777" w:rsidR="000B4D14" w:rsidRPr="00CD2E6E" w:rsidRDefault="000B4D14" w:rsidP="004C327E">
            <w:pPr>
              <w:ind w:left="34" w:right="85"/>
              <w:jc w:val="both"/>
            </w:pPr>
            <w:r w:rsidRPr="00CD2E6E">
              <w:lastRenderedPageBreak/>
              <w:t>- під час експлуатації автотранспорту викид відпрацьованих газів не повинен перевищувати допустимі норми;</w:t>
            </w:r>
          </w:p>
          <w:p w14:paraId="0B0D3C8D" w14:textId="77777777" w:rsidR="000B4D14" w:rsidRPr="00CD2E6E" w:rsidRDefault="000B4D14" w:rsidP="004C327E">
            <w:pPr>
              <w:ind w:left="34" w:right="85"/>
              <w:jc w:val="both"/>
            </w:pPr>
            <w:r w:rsidRPr="00CD2E6E">
              <w:t xml:space="preserve">-  не допускати складування сміття у несанкціонованих місцях; </w:t>
            </w:r>
          </w:p>
          <w:p w14:paraId="15D89FA8" w14:textId="77777777" w:rsidR="000B4D14" w:rsidRPr="00105C94" w:rsidRDefault="000B4D14" w:rsidP="004C327E">
            <w:pPr>
              <w:ind w:left="34" w:right="85"/>
              <w:jc w:val="both"/>
            </w:pPr>
            <w:r w:rsidRPr="00CD2E6E">
              <w:t xml:space="preserve">- компенсувати шкоду, заподіяну в разі забруднення або </w:t>
            </w:r>
            <w:r w:rsidRPr="00105C94">
              <w:t>іншого негативного впливу на природне середовище.</w:t>
            </w:r>
          </w:p>
          <w:p w14:paraId="32719D81" w14:textId="77777777" w:rsidR="000B4D14" w:rsidRPr="00D0160E" w:rsidRDefault="000B4D14" w:rsidP="004C327E">
            <w:pPr>
              <w:ind w:left="34" w:right="85"/>
              <w:jc w:val="both"/>
            </w:pPr>
            <w:r w:rsidRPr="00105C94">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w:t>
            </w:r>
            <w:r w:rsidRPr="00D0160E">
              <w:t>довкілля під час виконання робіт є довідка, складена Учасником у довільній формі, в якій Учасник гарантує застосування цих заходів.</w:t>
            </w:r>
          </w:p>
          <w:p w14:paraId="4BB43245" w14:textId="11DF9857" w:rsidR="000B4D14" w:rsidRPr="00CD2E6E" w:rsidRDefault="000B4D14" w:rsidP="004C327E">
            <w:pPr>
              <w:shd w:val="clear" w:color="auto" w:fill="FFFFFF"/>
              <w:jc w:val="both"/>
            </w:pPr>
            <w:r w:rsidRPr="00D0160E">
              <w:t>На виконання Законів України</w:t>
            </w:r>
            <w:r w:rsidR="00E3345C">
              <w:t xml:space="preserve"> «</w:t>
            </w:r>
            <w:r w:rsidRPr="00D0160E">
              <w:rPr>
                <w:bdr w:val="none" w:sz="0" w:space="0" w:color="auto" w:frame="1"/>
              </w:rPr>
              <w:t>Про</w:t>
            </w:r>
            <w:r w:rsidRPr="00CD2E6E">
              <w:rPr>
                <w:bdr w:val="none" w:sz="0" w:space="0" w:color="auto" w:frame="1"/>
              </w:rPr>
              <w:t xml:space="preserve"> дорожній рух</w:t>
            </w:r>
            <w:r w:rsidR="00E3345C">
              <w:rPr>
                <w:bdr w:val="none" w:sz="0" w:space="0" w:color="auto" w:frame="1"/>
              </w:rPr>
              <w:t>»</w:t>
            </w:r>
            <w:r w:rsidRPr="00CD2E6E">
              <w:rPr>
                <w:bdr w:val="none" w:sz="0" w:space="0" w:color="auto" w:frame="1"/>
              </w:rPr>
              <w:t xml:space="preserve">, </w:t>
            </w:r>
            <w:r w:rsidR="00E3345C">
              <w:rPr>
                <w:bdr w:val="none" w:sz="0" w:space="0" w:color="auto" w:frame="1"/>
              </w:rPr>
              <w:t>«</w:t>
            </w:r>
            <w:r w:rsidRPr="00CD2E6E">
              <w:rPr>
                <w:bdr w:val="none" w:sz="0" w:space="0" w:color="auto" w:frame="1"/>
              </w:rPr>
              <w:t>Про автомобільні дороги</w:t>
            </w:r>
            <w:r w:rsidR="00E3345C">
              <w:rPr>
                <w:bdr w:val="none" w:sz="0" w:space="0" w:color="auto" w:frame="1"/>
              </w:rPr>
              <w:t>»</w:t>
            </w:r>
            <w:r w:rsidRPr="00CD2E6E">
              <w:rPr>
                <w:bdr w:val="none" w:sz="0" w:space="0" w:color="auto" w:frame="1"/>
              </w:rPr>
              <w:t xml:space="preserve"> та</w:t>
            </w:r>
            <w:r w:rsidR="00E3345C">
              <w:rPr>
                <w:bdr w:val="none" w:sz="0" w:space="0" w:color="auto" w:frame="1"/>
              </w:rPr>
              <w:t xml:space="preserve"> </w:t>
            </w:r>
            <w:r w:rsidRPr="00CD2E6E">
              <w:t>Правил Дорожнього руху</w:t>
            </w:r>
            <w:r w:rsidRPr="00CD2E6E">
              <w:rPr>
                <w:b/>
                <w:bCs/>
              </w:rPr>
              <w:t xml:space="preserve"> </w:t>
            </w:r>
            <w:r w:rsidRPr="00CD2E6E">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AF95F70" w14:textId="77777777" w:rsidR="000B4D14" w:rsidRPr="00CD2E6E" w:rsidRDefault="000B4D14" w:rsidP="004C327E">
            <w:pPr>
              <w:shd w:val="clear" w:color="auto" w:fill="FFFFFF"/>
              <w:jc w:val="both"/>
              <w:textAlignment w:val="baseline"/>
            </w:pPr>
            <w:bookmarkStart w:id="8" w:name="n164"/>
            <w:bookmarkStart w:id="9" w:name="n165"/>
            <w:bookmarkEnd w:id="8"/>
            <w:bookmarkEnd w:id="9"/>
            <w:r w:rsidRPr="00CD2E6E">
              <w:t xml:space="preserve">- </w:t>
            </w:r>
            <w:hyperlink r:id="rId11" w:anchor="n134" w:tgtFrame="_blank" w:history="1">
              <w:r w:rsidRPr="00CD2E6E">
                <w:rPr>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CD2E6E">
              <w:t>, а також відновлення безпечних умов для руху;</w:t>
            </w:r>
          </w:p>
          <w:p w14:paraId="2BCF3018" w14:textId="77777777" w:rsidR="000B4D14" w:rsidRPr="00CD2E6E" w:rsidRDefault="000B4D14" w:rsidP="004C327E">
            <w:pPr>
              <w:shd w:val="clear" w:color="auto" w:fill="FFFFFF"/>
              <w:jc w:val="both"/>
              <w:textAlignment w:val="baseline"/>
            </w:pPr>
            <w:bookmarkStart w:id="10" w:name="n166"/>
            <w:bookmarkEnd w:id="10"/>
            <w:r w:rsidRPr="00CD2E6E">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4674CB7B" w14:textId="77777777" w:rsidR="000B4D14" w:rsidRPr="00CD2E6E" w:rsidRDefault="000B4D14" w:rsidP="004C327E">
            <w:pPr>
              <w:shd w:val="clear" w:color="auto" w:fill="FFFFFF"/>
              <w:jc w:val="both"/>
              <w:textAlignment w:val="baseline"/>
            </w:pPr>
            <w:bookmarkStart w:id="11" w:name="n167"/>
            <w:bookmarkEnd w:id="11"/>
            <w:r w:rsidRPr="00CD2E6E">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9AF0175" w14:textId="77777777" w:rsidR="000B4D14" w:rsidRPr="00CD2E6E" w:rsidRDefault="000B4D14" w:rsidP="004C327E">
            <w:pPr>
              <w:shd w:val="clear" w:color="auto" w:fill="FFFFFF"/>
              <w:jc w:val="both"/>
              <w:textAlignment w:val="baseline"/>
            </w:pPr>
            <w:r w:rsidRPr="00CD2E6E">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19D79BD4" w14:textId="77777777" w:rsidR="000B4D14" w:rsidRPr="00CD2E6E" w:rsidRDefault="000B4D14" w:rsidP="004C327E">
            <w:pPr>
              <w:shd w:val="clear" w:color="auto" w:fill="FFFFFF"/>
              <w:jc w:val="both"/>
              <w:textAlignment w:val="baseline"/>
            </w:pPr>
            <w:r w:rsidRPr="00CD2E6E">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7F81E1F0" w14:textId="77777777" w:rsidR="000B4D14" w:rsidRPr="00CD2E6E" w:rsidRDefault="000B4D14" w:rsidP="004C327E">
            <w:pPr>
              <w:shd w:val="clear" w:color="auto" w:fill="FFFFFF"/>
              <w:jc w:val="both"/>
              <w:textAlignment w:val="baseline"/>
            </w:pPr>
            <w:r w:rsidRPr="00CD2E6E">
              <w:t>- обладнувати їх технічними засобами регулювання дорожнього руху, тощо.</w:t>
            </w:r>
          </w:p>
          <w:p w14:paraId="34C5B0CB" w14:textId="6D34CAE5" w:rsidR="000B4D14" w:rsidRPr="00CD2E6E" w:rsidRDefault="000B4D14" w:rsidP="004C327E">
            <w:pPr>
              <w:shd w:val="clear" w:color="auto" w:fill="FFFFFF"/>
              <w:jc w:val="both"/>
              <w:textAlignment w:val="baseline"/>
            </w:pPr>
            <w:r w:rsidRPr="00CD2E6E">
              <w:t>Технічні засоби - спеціальні технічні засоби, призначені для</w:t>
            </w:r>
            <w:r w:rsidR="006B016B">
              <w:t xml:space="preserve">  </w:t>
            </w:r>
            <w:r w:rsidRPr="00CD2E6E">
              <w:t>організації</w:t>
            </w:r>
            <w:r w:rsidR="006B016B">
              <w:t xml:space="preserve"> </w:t>
            </w:r>
            <w:r w:rsidRPr="00CD2E6E">
              <w:t>та</w:t>
            </w:r>
            <w:r w:rsidR="006B016B">
              <w:t xml:space="preserve"> </w:t>
            </w:r>
            <w:r w:rsidRPr="00CD2E6E">
              <w:t>регулювання</w:t>
            </w:r>
            <w:r w:rsidR="006B016B">
              <w:t xml:space="preserve"> </w:t>
            </w:r>
            <w:r w:rsidRPr="00CD2E6E">
              <w:t>дорожнього руху (дорожні</w:t>
            </w:r>
            <w:r w:rsidR="006B016B">
              <w:t xml:space="preserve"> </w:t>
            </w:r>
            <w:r w:rsidRPr="00CD2E6E">
              <w:t>знаки,</w:t>
            </w:r>
            <w:r w:rsidR="006B016B">
              <w:t xml:space="preserve"> </w:t>
            </w:r>
            <w:r w:rsidRPr="00CD2E6E">
              <w:t>інформаційні</w:t>
            </w:r>
            <w:r w:rsidR="006B016B">
              <w:t xml:space="preserve"> </w:t>
            </w:r>
            <w:r w:rsidRPr="00CD2E6E">
              <w:t>табло, дорожня розмітка, сигнальні стовпчики, транспортні та пішохідні огородження різних типів,</w:t>
            </w:r>
            <w:r w:rsidR="006B016B">
              <w:t xml:space="preserve"> </w:t>
            </w:r>
            <w:r w:rsidRPr="00CD2E6E">
              <w:t>світлофорне обладнання тощо). </w:t>
            </w:r>
          </w:p>
          <w:p w14:paraId="1F1C3849" w14:textId="77777777" w:rsidR="000B4D14" w:rsidRPr="00CD2E6E" w:rsidRDefault="000B4D14" w:rsidP="004C327E">
            <w:pPr>
              <w:shd w:val="clear" w:color="auto" w:fill="FFFFFF"/>
              <w:jc w:val="both"/>
              <w:textAlignment w:val="baseline"/>
            </w:pPr>
            <w:r w:rsidRPr="00CD2E6E">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8A80883" w14:textId="77777777" w:rsidR="000B4D14" w:rsidRPr="00CD2E6E" w:rsidRDefault="000B4D14" w:rsidP="004C327E">
            <w:pPr>
              <w:shd w:val="clear" w:color="auto" w:fill="FFFFFF"/>
              <w:jc w:val="both"/>
              <w:textAlignment w:val="baseline"/>
            </w:pPr>
            <w:r w:rsidRPr="00CD2E6E">
              <w:lastRenderedPageBreak/>
              <w:t>Дорожні знаки застосовуються відповідно до цих Правил і повинні відповідати вимогам національного стандарту.</w:t>
            </w:r>
          </w:p>
          <w:p w14:paraId="411A060A" w14:textId="45A1CBE2" w:rsidR="005E1F29" w:rsidRPr="005E665C" w:rsidRDefault="000B4D14" w:rsidP="004C327E">
            <w:pPr>
              <w:tabs>
                <w:tab w:val="left" w:pos="8244"/>
                <w:tab w:val="left" w:pos="9160"/>
                <w:tab w:val="left" w:pos="10076"/>
                <w:tab w:val="left" w:pos="10992"/>
                <w:tab w:val="left" w:pos="11908"/>
                <w:tab w:val="left" w:pos="12824"/>
                <w:tab w:val="left" w:pos="13740"/>
                <w:tab w:val="left" w:pos="14656"/>
              </w:tabs>
              <w:jc w:val="both"/>
            </w:pPr>
            <w:bookmarkStart w:id="12" w:name="n1372"/>
            <w:bookmarkEnd w:id="12"/>
            <w:r w:rsidRPr="00CD2E6E">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r w:rsidRPr="00D0160E">
              <w:t>. Учасник повинен надати д</w:t>
            </w:r>
            <w:r w:rsidRPr="00D0160E">
              <w:rPr>
                <w:shd w:val="clear" w:color="auto" w:fill="FFFFFF"/>
              </w:rPr>
              <w:t>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lastRenderedPageBreak/>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3D1D83FF" w:rsidR="00913CDA" w:rsidRPr="005E665C" w:rsidRDefault="005E1F29" w:rsidP="004C327E">
            <w:pPr>
              <w:widowControl w:val="0"/>
              <w:shd w:val="clear" w:color="auto" w:fill="FFFFFF"/>
            </w:pPr>
            <w:r w:rsidRPr="005E665C">
              <w:rPr>
                <w:b/>
              </w:rPr>
              <w:t>Унесення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48E03E03"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1489D">
              <w:t>0</w:t>
            </w:r>
            <w:r w:rsidR="009F5CCB">
              <w:t>3</w:t>
            </w:r>
            <w:r w:rsidR="0061489D">
              <w:t xml:space="preserve"> квітня 2024</w:t>
            </w:r>
            <w:r w:rsidR="00161407" w:rsidRPr="003E12BA">
              <w:t xml:space="preserve"> року</w:t>
            </w:r>
            <w:r w:rsidR="004B478A">
              <w:t xml:space="preserve"> о 09</w:t>
            </w:r>
            <w:r w:rsidR="0062422D">
              <w:t>:</w:t>
            </w:r>
            <w:r w:rsidR="004B478A">
              <w:t>00</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lastRenderedPageBreak/>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3"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lastRenderedPageBreak/>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3" w:name="n301"/>
            <w:bookmarkEnd w:id="13"/>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Єдиним критерієм оцінки згідно даної процедури 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AB6EDE" w:rsidRDefault="005E1F29" w:rsidP="004C327E">
            <w:pPr>
              <w:widowControl w:val="0"/>
              <w:contextualSpacing/>
              <w:jc w:val="both"/>
              <w:rPr>
                <w:color w:val="000000"/>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DAA89A2" w14:textId="486DF0AF" w:rsidR="00C615B6" w:rsidRPr="00341CF6" w:rsidRDefault="005E1F29" w:rsidP="004C327E">
            <w:pPr>
              <w:pStyle w:val="rvps2"/>
              <w:shd w:val="clear" w:color="auto" w:fill="FFFFFF"/>
              <w:spacing w:before="0" w:after="0"/>
              <w:jc w:val="both"/>
              <w:rPr>
                <w:lang w:eastAsia="uk-UA"/>
              </w:rPr>
            </w:pPr>
            <w:r w:rsidRPr="005E665C">
              <w:rPr>
                <w:color w:val="000000"/>
                <w:shd w:val="solid" w:color="FFFFFF" w:fill="FFFFFF"/>
              </w:rPr>
              <w:t>1</w:t>
            </w:r>
            <w:r w:rsidRPr="00341CF6">
              <w:rPr>
                <w:shd w:val="solid" w:color="FFFFFF" w:fill="FFFFFF"/>
              </w:rPr>
              <w:t xml:space="preserve">.5. </w:t>
            </w:r>
            <w:r w:rsidR="00C615B6" w:rsidRPr="00341CF6">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14" w:name="n315"/>
            <w:bookmarkEnd w:id="14"/>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 xml:space="preserve">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color w:val="000000"/>
              </w:rPr>
              <w:lastRenderedPageBreak/>
              <w:t>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5" w:name="n316"/>
            <w:bookmarkEnd w:id="15"/>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зазначення унікального номера оголошення про проведення конкурентної процедури закупівлі, присвоєного електронною </w:t>
            </w:r>
            <w:r w:rsidRPr="005E665C">
              <w:rPr>
                <w:color w:val="000000"/>
              </w:rPr>
              <w:lastRenderedPageBreak/>
              <w:t>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5E665C">
              <w:rPr>
                <w:color w:val="000000"/>
              </w:rPr>
              <w:lastRenderedPageBreak/>
              <w:t>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«м. ківерці»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Порядок підтвердження 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highlight w:val="white"/>
              </w:rPr>
              <w:lastRenderedPageBreak/>
              <w:t xml:space="preserve">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16" w:name="bookmark=id.3znysh7" w:colFirst="0" w:colLast="0"/>
            <w:bookmarkEnd w:id="16"/>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lastRenderedPageBreak/>
              <w:t>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64AAFFF7" w:rsidR="0068351F" w:rsidRPr="00971F6C" w:rsidRDefault="0068351F" w:rsidP="004C327E">
            <w:pPr>
              <w:widowControl w:val="0"/>
              <w:jc w:val="both"/>
            </w:pPr>
            <w:r>
              <w:t xml:space="preserve">— </w:t>
            </w:r>
            <w:r w:rsidR="000F1405" w:rsidRPr="000F1405">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71F6C">
              <w:t>;</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lastRenderedPageBreak/>
              <w:t>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 xml:space="preserve">з дати </w:t>
            </w:r>
            <w:r w:rsidR="0068351F" w:rsidRPr="00971F6C">
              <w:lastRenderedPageBreak/>
              <w:t>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xml:space="preserve">— постанови Кабінету Міністрів України «Про забезпечення захисту національних інтересів за майбутніми позовами </w:t>
            </w:r>
            <w:r>
              <w:lastRenderedPageBreak/>
              <w:t>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4E5A4877" w14:textId="021DADB6" w:rsidR="0068351F" w:rsidRDefault="0068351F" w:rsidP="004C327E">
            <w:pPr>
              <w:pStyle w:val="rvps2"/>
              <w:shd w:val="clear" w:color="auto" w:fill="FFFFFF"/>
              <w:spacing w:before="0" w:after="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w:t>
            </w:r>
            <w:r w:rsidR="00341CF6" w:rsidRPr="00341CF6">
              <w:rPr>
                <w:lang w:eastAsia="uk-UA"/>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8351F">
              <w:t>.</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lastRenderedPageBreak/>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7" w:name="bookmark=id.2et92p0" w:colFirst="0" w:colLast="0"/>
            <w:bookmarkEnd w:id="17"/>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highlight w:val="white"/>
              </w:rPr>
              <w:lastRenderedPageBreak/>
              <w:t>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lastRenderedPageBreak/>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74CAA531"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8864C4" w:rsidRPr="00870696">
              <w:t>3</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4" w:anchor="n34" w:history="1">
              <w:r w:rsidRPr="00AB6EDE">
                <w:rPr>
                  <w:rStyle w:val="affff9"/>
                  <w:color w:val="000000" w:themeColor="text1"/>
                  <w:u w:val="none"/>
                </w:rPr>
                <w:t>пунктами 10</w:t>
              </w:r>
            </w:hyperlink>
            <w:r w:rsidRPr="00AB6EDE">
              <w:rPr>
                <w:color w:val="000000" w:themeColor="text1"/>
              </w:rPr>
              <w:t> і </w:t>
            </w:r>
            <w:hyperlink r:id="rId15"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6" w:tgtFrame="_blank" w:history="1">
              <w:r w:rsidRPr="00AB6EDE">
                <w:rPr>
                  <w:rStyle w:val="affff9"/>
                  <w:color w:val="000000" w:themeColor="text1"/>
                  <w:u w:val="none"/>
                </w:rPr>
                <w:t>Цивільного</w:t>
              </w:r>
            </w:hyperlink>
            <w:r w:rsidRPr="00AB6EDE">
              <w:rPr>
                <w:color w:val="000000" w:themeColor="text1"/>
              </w:rPr>
              <w:t> і </w:t>
            </w:r>
            <w:hyperlink r:id="rId17"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8"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9" w:anchor="n1766" w:tgtFrame="_blank" w:history="1">
              <w:r w:rsidRPr="00AB6EDE">
                <w:rPr>
                  <w:rStyle w:val="affff9"/>
                  <w:color w:val="000000" w:themeColor="text1"/>
                  <w:u w:val="none"/>
                </w:rPr>
                <w:t>третьої - п’ятої</w:t>
              </w:r>
            </w:hyperlink>
            <w:r w:rsidRPr="00AB6EDE">
              <w:rPr>
                <w:color w:val="000000" w:themeColor="text1"/>
              </w:rPr>
              <w:t>, </w:t>
            </w:r>
            <w:hyperlink r:id="rId20" w:anchor="n1779" w:tgtFrame="_blank" w:history="1">
              <w:r w:rsidRPr="00AB6EDE">
                <w:rPr>
                  <w:rStyle w:val="affff9"/>
                  <w:color w:val="000000" w:themeColor="text1"/>
                  <w:u w:val="none"/>
                </w:rPr>
                <w:t>сьомої</w:t>
              </w:r>
            </w:hyperlink>
            <w:r w:rsidRPr="00AB6EDE">
              <w:rPr>
                <w:color w:val="000000" w:themeColor="text1"/>
              </w:rPr>
              <w:t> та </w:t>
            </w:r>
            <w:hyperlink r:id="rId21"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8" w:name="n68"/>
            <w:bookmarkEnd w:id="18"/>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9" w:name="n69"/>
            <w:bookmarkEnd w:id="19"/>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692296E4" w:rsidR="00032115" w:rsidRDefault="00032115" w:rsidP="004C327E">
            <w:pPr>
              <w:widowControl w:val="0"/>
              <w:contextualSpacing/>
              <w:jc w:val="both"/>
              <w:rPr>
                <w:color w:val="333333"/>
                <w:shd w:val="clear" w:color="auto" w:fill="FFFFFF"/>
              </w:rPr>
            </w:pPr>
            <w:r>
              <w:rPr>
                <w:color w:val="333333"/>
                <w:shd w:val="clear" w:color="auto" w:fill="FFFFFF"/>
              </w:rPr>
              <w:t xml:space="preserve">- </w:t>
            </w:r>
            <w:r w:rsidR="0068351F" w:rsidRPr="00870696">
              <w:rPr>
                <w:color w:val="333333"/>
                <w:shd w:val="clear" w:color="auto" w:fill="FFFFFF"/>
              </w:rPr>
              <w:t xml:space="preserve"> </w:t>
            </w:r>
            <w:r w:rsidRPr="00032115">
              <w:rPr>
                <w:color w:val="000000"/>
                <w:lang w:eastAsia="ru-RU"/>
              </w:rPr>
              <w:t>документи, що підтверджують відсутність підстав, зазначених у підпунктах 3, 5, 6 і 12 та в абзаці чотирнадцятому пункту 4</w:t>
            </w:r>
            <w:r w:rsidR="0086209A" w:rsidRPr="0086209A">
              <w:rPr>
                <w:color w:val="000000"/>
                <w:lang w:val="ru-RU" w:eastAsia="ru-RU"/>
              </w:rPr>
              <w:t>7</w:t>
            </w:r>
            <w:r w:rsidRPr="00032115">
              <w:rPr>
                <w:color w:val="000000"/>
                <w:lang w:eastAsia="ru-RU"/>
              </w:rPr>
              <w:t xml:space="preserve"> Особливостей</w:t>
            </w:r>
            <w:r w:rsidR="0068351F" w:rsidRPr="00870696">
              <w:rPr>
                <w:color w:val="333333"/>
                <w:shd w:val="clear" w:color="auto" w:fill="FFFFFF"/>
              </w:rPr>
              <w:t xml:space="preserve">. </w:t>
            </w:r>
          </w:p>
          <w:p w14:paraId="6EC086ED" w14:textId="574E358D" w:rsidR="0068351F" w:rsidRPr="00870696" w:rsidRDefault="00032115" w:rsidP="004C327E">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5E665C" w:rsidRDefault="0068351F" w:rsidP="004C327E">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310139">
              <w:lastRenderedPageBreak/>
              <w:t>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20" w:name="_heading=h.tyjcwt" w:colFirst="0" w:colLast="0"/>
            <w:bookmarkEnd w:id="20"/>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21" w:name="n73"/>
            <w:bookmarkEnd w:id="21"/>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350050">
      <w:pgSz w:w="11909" w:h="16834"/>
      <w:pgMar w:top="993"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241A" w14:textId="77777777" w:rsidR="00350050" w:rsidRDefault="00350050">
      <w:r>
        <w:separator/>
      </w:r>
    </w:p>
  </w:endnote>
  <w:endnote w:type="continuationSeparator" w:id="0">
    <w:p w14:paraId="379EAD97" w14:textId="77777777" w:rsidR="00350050" w:rsidRDefault="003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36ED" w14:textId="77777777" w:rsidR="00350050" w:rsidRDefault="00350050">
      <w:r>
        <w:separator/>
      </w:r>
    </w:p>
  </w:footnote>
  <w:footnote w:type="continuationSeparator" w:id="0">
    <w:p w14:paraId="6A6ECF4C" w14:textId="77777777" w:rsidR="00350050" w:rsidRDefault="0035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0F1405"/>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0050"/>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5CCB"/>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879-2007-%D0%BF/paran13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9882</Words>
  <Characters>56330</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3</cp:revision>
  <cp:lastPrinted>2023-03-07T12:09:00Z</cp:lastPrinted>
  <dcterms:created xsi:type="dcterms:W3CDTF">2024-03-29T08:33:00Z</dcterms:created>
  <dcterms:modified xsi:type="dcterms:W3CDTF">2024-03-29T09:10:00Z</dcterms:modified>
</cp:coreProperties>
</file>