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 w:right="0" w:rightChars="0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0" w:leftChars="0" w:right="0" w:rightChars="0" w:firstLine="0" w:firstLineChars="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Форма «Тендерна пропозиція»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Ми, (назва учасника), надаємо свою пропозицію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закупівлю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 xml:space="preserve">товару 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4"/>
          <w:szCs w:val="24"/>
          <w:highlight w:val="none"/>
        </w:rPr>
        <w:t>“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4"/>
          <w:szCs w:val="24"/>
          <w:highlight w:val="none"/>
          <w:lang w:val="uk-UA"/>
        </w:rPr>
        <w:t>Ворота промислові секційні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highlight w:val="none"/>
        </w:rPr>
        <w:t>ДК 021:2015 “Єдиний закупівельний словник” –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4"/>
          <w:szCs w:val="24"/>
          <w:highlight w:val="none"/>
        </w:rPr>
        <w:t xml:space="preserve">021:2015 – 44220000-8 Столярні вироби”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>згідно з технічними вимогами Замовника.</w:t>
      </w:r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вказаними у таблиці: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960"/>
        <w:gridCol w:w="1325"/>
        <w:gridCol w:w="1325"/>
        <w:gridCol w:w="13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6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№</w:t>
            </w:r>
          </w:p>
        </w:tc>
        <w:tc>
          <w:tcPr>
            <w:tcW w:w="396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Одиниця виміру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Кількість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Ціна за одиницю з ПДВ*, грн.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Сума з ПДВ*,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1</w:t>
            </w:r>
          </w:p>
        </w:tc>
        <w:tc>
          <w:tcPr>
            <w:tcW w:w="396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96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.........................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1" w:type="dxa"/>
            <w:gridSpan w:val="5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Всього з ПДВ*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1" w:type="dxa"/>
            <w:gridSpan w:val="5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В тому числі ПДВ*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1" w:type="dxa"/>
            <w:gridSpan w:val="5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uk-UA"/>
              </w:rPr>
              <w:t>Всього без ПДВ*</w:t>
            </w:r>
          </w:p>
        </w:tc>
        <w:tc>
          <w:tcPr>
            <w:tcW w:w="1325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5"/>
        <w:ind w:right="500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i/>
          <w:iCs/>
          <w:sz w:val="20"/>
          <w:szCs w:val="20"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0" w:leftChars="0" w:right="0" w:rightChars="0" w:firstLine="0" w:firstLineChars="0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0"/>
          <w:szCs w:val="20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</w:t>
      </w:r>
      <w:r>
        <w:rPr>
          <w:rFonts w:hint="default" w:eastAsia="SimSun" w:cs="Times New Roman"/>
          <w:i/>
          <w:iCs/>
          <w:caps w:val="0"/>
          <w:color w:val="000000"/>
          <w:spacing w:val="0"/>
          <w:sz w:val="20"/>
          <w:szCs w:val="20"/>
          <w:lang w:val="uk-UA"/>
        </w:rPr>
        <w:t xml:space="preserve"> про що 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0"/>
          <w:szCs w:val="20"/>
        </w:rPr>
        <w:t>Учасник робить відповідну позначку</w:t>
      </w:r>
      <w:r>
        <w:rPr>
          <w:rFonts w:hint="default" w:eastAsia="SimSun" w:cs="Times New Roman"/>
          <w:i/>
          <w:iCs/>
          <w:caps w:val="0"/>
          <w:color w:val="000000"/>
          <w:spacing w:val="0"/>
          <w:sz w:val="20"/>
          <w:szCs w:val="20"/>
          <w:lang w:val="uk-UA"/>
        </w:rPr>
        <w:t>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Ціна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пропозиції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 та ціна </w:t>
      </w:r>
      <w:bookmarkStart w:id="0" w:name="_GoBack"/>
      <w:bookmarkEnd w:id="0"/>
      <w:r>
        <w:rPr>
          <w:rFonts w:hint="default" w:ascii="Times New Roman" w:hAnsi="Times New Roman" w:eastAsia="Times New Roman"/>
          <w:b w:val="0"/>
          <w:bCs w:val="0"/>
          <w:sz w:val="24"/>
          <w:szCs w:val="24"/>
        </w:rPr>
        <w:t>за одиницю виміру товару</w:t>
      </w:r>
      <w:r>
        <w:rPr>
          <w:rFonts w:hint="default"/>
          <w:b w:val="0"/>
          <w:bCs w:val="0"/>
          <w:sz w:val="24"/>
          <w:szCs w:val="24"/>
          <w:lang w:val="uk-UA"/>
        </w:rPr>
        <w:t xml:space="preserve"> зокрема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включає у себе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витрати, враховуючи вартість </w:t>
      </w:r>
      <w:r>
        <w:rPr>
          <w:rFonts w:hint="default" w:ascii="Times New Roman" w:hAnsi="Times New Roman" w:eastAsia="Times New Roman"/>
          <w:color w:val="auto"/>
          <w:sz w:val="24"/>
          <w:szCs w:val="24"/>
        </w:rPr>
        <w:t xml:space="preserve">вартість уточнюючих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uk-UA"/>
        </w:rPr>
        <w:t xml:space="preserve">(контрольних) </w:t>
      </w:r>
      <w:r>
        <w:rPr>
          <w:rFonts w:hint="default" w:ascii="Times New Roman" w:hAnsi="Times New Roman" w:eastAsia="Times New Roman"/>
          <w:color w:val="auto"/>
          <w:sz w:val="24"/>
          <w:szCs w:val="24"/>
        </w:rPr>
        <w:t>замірів воріт</w:t>
      </w:r>
      <w:r>
        <w:rPr>
          <w:rFonts w:hint="default"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транспортних послуг на доставку Товару до місця поставки,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uk-UA"/>
        </w:rPr>
        <w:t>включаючи навантаження, розвантаження, транспортні, експедиційні та інші послуги з доставки;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перевірку комплектності, цілісності та відсутності пошкоджень у присутності представників Замовника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  <w:lang w:val="uk-UA"/>
        </w:rPr>
        <w:t xml:space="preserve">; </w:t>
      </w:r>
      <w:r>
        <w:rPr>
          <w:rFonts w:hint="default" w:cs="Times New Roman"/>
          <w:color w:val="auto"/>
          <w:sz w:val="24"/>
          <w:szCs w:val="24"/>
          <w:highlight w:val="none"/>
          <w:rtl w:val="0"/>
          <w:lang w:val="uk-UA"/>
        </w:rPr>
        <w:t xml:space="preserve">послуги з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  <w:lang w:val="uk-UA"/>
        </w:rPr>
        <w:t>монтаж</w:t>
      </w:r>
      <w:r>
        <w:rPr>
          <w:rFonts w:hint="default" w:cs="Times New Roman"/>
          <w:color w:val="auto"/>
          <w:sz w:val="24"/>
          <w:szCs w:val="24"/>
          <w:highlight w:val="none"/>
          <w:rtl w:val="0"/>
          <w:lang w:val="uk-UA"/>
        </w:rPr>
        <w:t xml:space="preserve">у </w:t>
      </w:r>
      <w:r>
        <w:rPr>
          <w:rFonts w:hint="default" w:ascii="Times New Roman" w:hAnsi="Times New Roman" w:eastAsia="Times New Roman"/>
          <w:sz w:val="24"/>
          <w:szCs w:val="24"/>
          <w:lang w:val="uk-UA"/>
        </w:rPr>
        <w:t>конструкцій (воріт в зібраному вигляді)</w:t>
      </w:r>
      <w:r>
        <w:rPr>
          <w:rFonts w:hint="default"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Times New Roman"/>
          <w:sz w:val="24"/>
          <w:szCs w:val="24"/>
          <w:lang w:val="uk-UA"/>
        </w:rPr>
        <w:t>налагодження роботи воріт.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/>
          <w:sz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</w:t>
      </w:r>
    </w:p>
    <w:p>
      <w:pPr>
        <w:pStyle w:val="5"/>
        <w:ind w:right="0" w:rightChars="0"/>
        <w:jc w:val="both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7216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ind w:left="0" w:leftChars="0" w:firstLine="0" w:firstLineChars="0"/>
      </w:pPr>
    </w:p>
    <w:sectPr>
      <w:pgSz w:w="11906" w:h="16838"/>
      <w:pgMar w:top="1440" w:right="86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667C3"/>
    <w:rsid w:val="099D02F6"/>
    <w:rsid w:val="1F693A18"/>
    <w:rsid w:val="245109A3"/>
    <w:rsid w:val="25523035"/>
    <w:rsid w:val="391858D7"/>
    <w:rsid w:val="3FFF72E9"/>
    <w:rsid w:val="46C0371D"/>
    <w:rsid w:val="59F05A80"/>
    <w:rsid w:val="6497425F"/>
    <w:rsid w:val="65B640C9"/>
    <w:rsid w:val="6D9019E3"/>
    <w:rsid w:val="6F121AEA"/>
    <w:rsid w:val="71EF509C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9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10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2024-04-02T13:20:53Z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