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6F" w:rsidRDefault="00ED086F">
      <w:pPr>
        <w:spacing w:after="0" w:line="240" w:lineRule="auto"/>
        <w:ind w:left="5660"/>
        <w:jc w:val="right"/>
        <w:rPr>
          <w:rFonts w:ascii="Times New Roman" w:eastAsia="Times New Roman" w:hAnsi="Times New Roman" w:cs="Times New Roman"/>
          <w:b/>
          <w:color w:val="000000"/>
          <w:sz w:val="24"/>
          <w:szCs w:val="24"/>
        </w:rPr>
      </w:pPr>
    </w:p>
    <w:p w:rsidR="00ED086F" w:rsidRDefault="00E44A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D086F" w:rsidRDefault="00E44A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D086F" w:rsidRPr="001B4540" w:rsidRDefault="00E44A2C">
      <w:pPr>
        <w:spacing w:before="240" w:after="0" w:line="240" w:lineRule="auto"/>
        <w:jc w:val="center"/>
        <w:rPr>
          <w:rFonts w:ascii="Times New Roman" w:eastAsia="Times New Roman" w:hAnsi="Times New Roman" w:cs="Times New Roman"/>
          <w:b/>
          <w:i/>
          <w:color w:val="000000"/>
          <w:sz w:val="28"/>
          <w:szCs w:val="28"/>
        </w:rPr>
      </w:pPr>
      <w:r w:rsidRPr="001B4540">
        <w:rPr>
          <w:rFonts w:ascii="Times New Roman" w:eastAsia="Times New Roman" w:hAnsi="Times New Roman" w:cs="Times New Roman"/>
          <w:b/>
          <w:i/>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83008" w:rsidRPr="00C83008" w:rsidRDefault="00C83008" w:rsidP="00C83008">
      <w:pPr>
        <w:spacing w:line="240" w:lineRule="auto"/>
        <w:ind w:hanging="2"/>
        <w:jc w:val="center"/>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t>ТЕХНІЧНЕ ЗАВДАННЯ</w:t>
      </w:r>
    </w:p>
    <w:p w:rsidR="00C83008" w:rsidRPr="00C83008" w:rsidRDefault="00C83008" w:rsidP="00C83008">
      <w:pPr>
        <w:spacing w:line="240" w:lineRule="auto"/>
        <w:ind w:hanging="2"/>
        <w:jc w:val="center"/>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t xml:space="preserve">на закупівлю   55510000-8 Послуги їдалень </w:t>
      </w:r>
    </w:p>
    <w:p w:rsidR="00C83008" w:rsidRPr="00C83008" w:rsidRDefault="00C83008" w:rsidP="00C83008">
      <w:pPr>
        <w:spacing w:line="240" w:lineRule="auto"/>
        <w:ind w:hanging="2"/>
        <w:jc w:val="center"/>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t>(ПОСЛУГИ З ХАРЧУВАННЯ ЛІЦЕЇСТІВ)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bookmarkStart w:id="0" w:name="_heading=h.gjdgxs" w:colFirst="0" w:colLast="0"/>
      <w:bookmarkEnd w:id="0"/>
      <w:r w:rsidRPr="00C83008">
        <w:rPr>
          <w:rFonts w:ascii="Times New Roman" w:eastAsia="Times New Roman" w:hAnsi="Times New Roman" w:cs="Times New Roman"/>
          <w:sz w:val="24"/>
          <w:szCs w:val="24"/>
          <w:lang w:eastAsia="uk-UA"/>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а також приготування їжі будуть здійснюватися виключно в приміщеннях їдалень та харчоблоків Ціна послуг має включати в себе витрати на закупку продуктів, транспорт, приготування, а також витрати на енергоносії, водопостачання, прибирання та миття посуду, зарплату працівників тощо. Ціна послуг повинна включати в себе всі податки та збори, обов’язкові платежі.</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Кількість учнів може змінюватися  відповідно до фактичного відвідування.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у пропозиції також враховує необхідність в організації дієтичного та, можливо, - лікувального харчування, тому можливі зміни в потребі у дієтичному та лікувальному харчуванні.</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Учасник має врахувати та суворо дотримуватися графіку харчування дітей визначеного керівником закладу.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w:t>
      </w:r>
      <w:r w:rsidRPr="00C83008">
        <w:rPr>
          <w:rFonts w:ascii="Times New Roman" w:eastAsia="Times New Roman" w:hAnsi="Times New Roman" w:cs="Times New Roman"/>
          <w:sz w:val="24"/>
          <w:szCs w:val="24"/>
          <w:lang w:eastAsia="uk-UA"/>
        </w:rPr>
        <w:lastRenderedPageBreak/>
        <w:t>відповідності виробництва, зберігання, транспортування, реалізації і використання харчових продуктів.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Кількість учнів на харчування узгоджується замовником кожного дня.</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Надання послуг повинно здійснюватися лише при наявності умов для дотримання правил особистої гігієни персоналом харчоблоку. </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Протягом надання послуг учасник повинен забезпечувати належний санітарний стан харчоблоку.</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надати сертифікат або інші документи, що підтверджують впровадження та застосування постійно діючих процедур, заснованих на принципах Системи управління безпечністю харчових продуктів (НАССР).</w:t>
      </w: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p>
    <w:p w:rsidR="00C83008" w:rsidRPr="00C83008" w:rsidRDefault="00C83008" w:rsidP="00C83008">
      <w:pPr>
        <w:spacing w:after="0"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 xml:space="preserve">Учасник повинен надати замовнику послуги, якість яких відповідає наступним нормативним документам: </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Вимогам Закон України «Про дитяче харчування» від 14.09.2006 № 142-V</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Закону України «Про основні принципи та вимоги до безпечності та якості харчових продуктів» від 23.12.1997 № 771/97-ВР.</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Наказу Міністерства охорони здоров’я України від 23.07.2002 № 280 «</w:t>
      </w:r>
      <w:r w:rsidRPr="00C83008">
        <w:rPr>
          <w:rFonts w:ascii="Times New Roman" w:eastAsia="Times New Roman" w:hAnsi="Times New Roman" w:cs="Times New Roman"/>
          <w:sz w:val="24"/>
          <w:szCs w:val="24"/>
          <w:highlight w:val="white"/>
          <w:lang w:eastAsia="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C83008">
        <w:rPr>
          <w:rFonts w:ascii="Times New Roman" w:eastAsia="Times New Roman" w:hAnsi="Times New Roman" w:cs="Times New Roman"/>
          <w:sz w:val="24"/>
          <w:szCs w:val="24"/>
          <w:lang w:eastAsia="uk-UA"/>
        </w:rPr>
        <w:t>.</w:t>
      </w:r>
    </w:p>
    <w:p w:rsidR="00C83008" w:rsidRPr="00C83008" w:rsidRDefault="00C83008" w:rsidP="00C83008">
      <w:pPr>
        <w:spacing w:line="240"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C83008" w:rsidRPr="00C83008" w:rsidRDefault="00C83008" w:rsidP="00C83008">
      <w:pPr>
        <w:spacing w:after="0" w:line="240" w:lineRule="auto"/>
        <w:jc w:val="both"/>
        <w:rPr>
          <w:rFonts w:ascii="Times New Roman" w:eastAsia="Times New Roman" w:hAnsi="Times New Roman"/>
          <w:sz w:val="24"/>
          <w:szCs w:val="24"/>
          <w:lang w:eastAsia="uk-UA"/>
        </w:rPr>
      </w:pPr>
      <w:r w:rsidRPr="00C83008">
        <w:rPr>
          <w:rFonts w:ascii="Times New Roman" w:eastAsia="Times New Roman" w:hAnsi="Times New Roman"/>
          <w:sz w:val="24"/>
          <w:szCs w:val="24"/>
          <w:lang w:eastAsia="uk-UA"/>
        </w:rPr>
        <w:lastRenderedPageBreak/>
        <w:t>Учасник у складі пропозиції має надати примірне 4 тижневе меню, яке відповідає нормам споживання основних груп харчових продуктів відповідно до табл. 1.. Примірне чотиритижневе сезонне меню має бути  погодження з територіальним органом Держпродспоживслужби. Без такого погодження дозволено використовувати меню, рекомендоване МОЗ. 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C83008" w:rsidRPr="00C83008" w:rsidRDefault="00C83008" w:rsidP="00C83008">
      <w:pPr>
        <w:spacing w:line="240" w:lineRule="auto"/>
        <w:ind w:left="142" w:firstLine="284"/>
        <w:jc w:val="both"/>
        <w:rPr>
          <w:rFonts w:ascii="Times New Roman" w:eastAsia="Times New Roman" w:hAnsi="Times New Roman" w:cs="Times New Roman"/>
          <w:sz w:val="24"/>
          <w:szCs w:val="24"/>
          <w:lang w:eastAsia="uk-UA"/>
        </w:rPr>
      </w:pPr>
    </w:p>
    <w:p w:rsidR="00C83008" w:rsidRPr="00C83008" w:rsidRDefault="00C83008" w:rsidP="00C83008">
      <w:pPr>
        <w:ind w:hanging="2"/>
        <w:jc w:val="center"/>
        <w:rPr>
          <w:rFonts w:ascii="Times New Roman" w:eastAsia="Times New Roman" w:hAnsi="Times New Roman" w:cs="Times New Roman"/>
          <w:b/>
          <w:sz w:val="24"/>
          <w:szCs w:val="24"/>
          <w:lang w:eastAsia="uk-UA"/>
        </w:rPr>
      </w:pPr>
    </w:p>
    <w:p w:rsidR="00C83008" w:rsidRPr="00C83008" w:rsidRDefault="00C83008" w:rsidP="00C83008">
      <w:pPr>
        <w:ind w:hanging="2"/>
        <w:jc w:val="center"/>
        <w:rPr>
          <w:rFonts w:ascii="Times New Roman" w:eastAsia="Times New Roman" w:hAnsi="Times New Roman" w:cs="Times New Roman"/>
          <w:b/>
          <w:sz w:val="24"/>
          <w:szCs w:val="24"/>
          <w:lang w:eastAsia="uk-UA"/>
        </w:rPr>
      </w:pPr>
    </w:p>
    <w:p w:rsidR="00C83008" w:rsidRPr="00C83008" w:rsidRDefault="00C83008" w:rsidP="00C83008">
      <w:pPr>
        <w:keepNext/>
        <w:keepLines/>
        <w:spacing w:before="240" w:after="240" w:line="240" w:lineRule="auto"/>
        <w:jc w:val="right"/>
        <w:rPr>
          <w:rFonts w:ascii="Times New Roman" w:eastAsia="Times New Roman" w:hAnsi="Times New Roman" w:cs="Times New Roman"/>
          <w:b/>
          <w:sz w:val="24"/>
          <w:szCs w:val="24"/>
          <w:lang w:eastAsia="ru-RU"/>
        </w:rPr>
      </w:pPr>
      <w:r w:rsidRPr="00C83008">
        <w:rPr>
          <w:rFonts w:ascii="Times New Roman" w:eastAsia="Times New Roman" w:hAnsi="Times New Roman" w:cs="Times New Roman"/>
          <w:b/>
          <w:sz w:val="24"/>
          <w:szCs w:val="24"/>
          <w:lang w:eastAsia="ru-RU"/>
        </w:rPr>
        <w:t>табл. 1.</w:t>
      </w:r>
    </w:p>
    <w:p w:rsidR="00C83008" w:rsidRPr="00C83008" w:rsidRDefault="00C83008" w:rsidP="00C83008">
      <w:pPr>
        <w:keepNext/>
        <w:keepLines/>
        <w:spacing w:before="240" w:after="240" w:line="240" w:lineRule="auto"/>
        <w:jc w:val="center"/>
        <w:rPr>
          <w:rFonts w:ascii="Times New Roman" w:eastAsia="Times New Roman" w:hAnsi="Times New Roman" w:cs="Times New Roman"/>
          <w:b/>
          <w:sz w:val="24"/>
          <w:szCs w:val="24"/>
          <w:lang w:eastAsia="ru-RU"/>
        </w:rPr>
      </w:pPr>
      <w:r w:rsidRPr="00C83008">
        <w:rPr>
          <w:rFonts w:ascii="Times New Roman" w:eastAsia="Times New Roman" w:hAnsi="Times New Roman" w:cs="Times New Roman"/>
          <w:b/>
          <w:sz w:val="24"/>
          <w:szCs w:val="24"/>
          <w:lang w:eastAsia="ru-RU"/>
        </w:rPr>
        <w:t>НОРМИ</w:t>
      </w:r>
      <w:r w:rsidRPr="00C83008">
        <w:rPr>
          <w:rFonts w:ascii="Times New Roman" w:eastAsia="Times New Roman" w:hAnsi="Times New Roman" w:cs="Times New Roman"/>
          <w:b/>
          <w:sz w:val="24"/>
          <w:szCs w:val="24"/>
          <w:lang w:eastAsia="ru-RU"/>
        </w:rPr>
        <w:br/>
        <w:t xml:space="preserve">споживання основних груп харчових продуктів на сніданок, обід та вечерю в закладах </w:t>
      </w:r>
      <w:r w:rsidRPr="00C83008">
        <w:rPr>
          <w:rFonts w:ascii="Times New Roman" w:eastAsia="Times New Roman" w:hAnsi="Times New Roman" w:cs="Times New Roman"/>
          <w:b/>
          <w:sz w:val="24"/>
          <w:szCs w:val="24"/>
          <w:lang w:eastAsia="ru-RU"/>
        </w:rPr>
        <w:br/>
        <w:t>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32"/>
        <w:gridCol w:w="2414"/>
        <w:gridCol w:w="2319"/>
        <w:gridCol w:w="1353"/>
        <w:gridCol w:w="2112"/>
        <w:gridCol w:w="33"/>
      </w:tblGrid>
      <w:tr w:rsidR="00C83008" w:rsidRPr="00C83008" w:rsidTr="00497619">
        <w:trPr>
          <w:gridAfter w:val="1"/>
          <w:wAfter w:w="17" w:type="pct"/>
          <w:tblHeader/>
        </w:trPr>
        <w:tc>
          <w:tcPr>
            <w:tcW w:w="741"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Група харчових продуктів</w:t>
            </w:r>
          </w:p>
        </w:tc>
        <w:tc>
          <w:tcPr>
            <w:tcW w:w="1249"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Характеристика</w:t>
            </w:r>
          </w:p>
        </w:tc>
        <w:tc>
          <w:tcPr>
            <w:tcW w:w="1200"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Частота включення до складу сніданку, обіду або вечері</w:t>
            </w:r>
          </w:p>
        </w:tc>
        <w:tc>
          <w:tcPr>
            <w:tcW w:w="700" w:type="pct"/>
            <w:vMerge w:val="restar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Кількість порцій для відповідної вікової групи на тиждень</w:t>
            </w:r>
          </w:p>
        </w:tc>
        <w:tc>
          <w:tcPr>
            <w:tcW w:w="1093" w:type="pct"/>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C83008" w:rsidRPr="00C83008" w:rsidTr="00497619">
        <w:trPr>
          <w:tblHeader/>
        </w:trPr>
        <w:tc>
          <w:tcPr>
            <w:tcW w:w="741"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1249"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1200"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700" w:type="pct"/>
            <w:vMerge/>
            <w:vAlign w:val="center"/>
            <w:hideMark/>
          </w:tcPr>
          <w:p w:rsidR="00C83008" w:rsidRPr="00C83008" w:rsidRDefault="00C83008" w:rsidP="00C83008">
            <w:pPr>
              <w:jc w:val="both"/>
              <w:rPr>
                <w:rFonts w:ascii="Times New Roman" w:eastAsia="Times New Roman" w:hAnsi="Times New Roman" w:cs="Times New Roman"/>
                <w:sz w:val="24"/>
                <w:szCs w:val="24"/>
                <w:lang w:val="ru-RU"/>
              </w:rPr>
            </w:pPr>
          </w:p>
        </w:tc>
        <w:tc>
          <w:tcPr>
            <w:tcW w:w="1110" w:type="pct"/>
            <w:gridSpan w:val="2"/>
            <w:vAlign w:val="center"/>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від 14 до 18 років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Овочі</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різноманітні, сезонні, крім картоплі, свіжі, заморожені або квашені</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на сніданок, обід та вечерю разом із зеленню</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квашені овочі можуть пропонуватися не частіше ніж три рази на тиждень (по одному разу на сніданок, обід та вечерю)</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порцій</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Фрукти та ягоди</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різноманітні, сезонні, свіжі або заморожені</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на сніданок або вечерю, а також на обід</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порцій</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Соки</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фруктові, овочеві, фруктово-ягідні, фруктово-овочеві пастеризовані соки </w:t>
            </w:r>
            <w:r w:rsidRPr="00C83008">
              <w:rPr>
                <w:rFonts w:ascii="Times New Roman" w:eastAsia="Times New Roman" w:hAnsi="Times New Roman" w:cs="Times New Roman"/>
                <w:sz w:val="24"/>
                <w:szCs w:val="24"/>
                <w:lang w:eastAsia="ru-RU"/>
              </w:rPr>
              <w:br/>
            </w:r>
            <w:r w:rsidRPr="00C83008">
              <w:rPr>
                <w:rFonts w:ascii="Times New Roman" w:eastAsia="Times New Roman" w:hAnsi="Times New Roman" w:cs="Times New Roman"/>
                <w:sz w:val="24"/>
                <w:szCs w:val="24"/>
                <w:lang w:eastAsia="ru-RU"/>
              </w:rPr>
              <w:lastRenderedPageBreak/>
              <w:t>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два рази на тиждень під час сніданку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200 мілілітрів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Фрукти та ягоди сушені</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різноманітні, без додавання цукрів і підсолоджувачів</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25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Злакові та бобові</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в чергуванні із стравами з картоплі під час сніданку, обіду та вечері</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бобові пропонуються принаймні три рази на тиждень</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p>
        </w:tc>
        <w:tc>
          <w:tcPr>
            <w:tcW w:w="700" w:type="pct"/>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порцій</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150 грамів готової страви (каші або бобових,</w:t>
            </w:r>
            <w:r w:rsidRPr="00C83008">
              <w:rPr>
                <w:rFonts w:ascii="Times New Roman" w:eastAsia="Times New Roman" w:hAnsi="Times New Roman" w:cs="Times New Roman"/>
                <w:sz w:val="24"/>
                <w:szCs w:val="24"/>
                <w:lang w:eastAsia="ru-RU"/>
              </w:rPr>
              <w:br/>
              <w:t>або макаронів)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Картопля</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відварена без шкірки, запечена, тушкована або картопляне пюре, в перших стравах</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під час сніданку, обіду або вечері з таким чергуванням: одна страва з картоплі на чотири — п’ять страв із злакових/бобових</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чотири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150 грамів</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Хліб</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цільнозерновий хліб з високим вмістом харчових волокон та з обмеженим вмістом солі, який не перевищує 0,45 грама на 100 грамів хліба</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або вечері та під час обіду</w:t>
            </w:r>
          </w:p>
        </w:tc>
        <w:tc>
          <w:tcPr>
            <w:tcW w:w="7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порцій</w:t>
            </w:r>
          </w:p>
        </w:tc>
        <w:tc>
          <w:tcPr>
            <w:tcW w:w="1110" w:type="pct"/>
            <w:gridSpan w:val="2"/>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50 грамів</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Риба</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різні сорти морської риби, вага порції — розморожена риба (потрошена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120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Птиця</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охолоджена/заморожена, крім водоплавної, вага порції без шкіри та кісток</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шість разів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п’ять порцій під час сніданку або вечері, одна порція під час обіду</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120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Свинина, телятина, яловичина</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охолоджена/заморожена, нежирні (менше 15 грамів жиру на 100 грамів м’яса) частини тушки, вага порції без кістки</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 під час обіду</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120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Яйця </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варені, смажені з додаванням мінімальної кількості жиру, приготовлені до повної готовності</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w:t>
            </w:r>
            <w:r w:rsidRPr="00C83008">
              <w:rPr>
                <w:rFonts w:ascii="Antiqua" w:eastAsia="Times New Roman" w:hAnsi="Antiqua" w:cs="Times New Roman"/>
                <w:sz w:val="24"/>
                <w:szCs w:val="24"/>
                <w:lang w:eastAsia="ru-RU"/>
              </w:rPr>
              <w:t xml:space="preserve"> </w:t>
            </w:r>
            <w:r w:rsidRPr="00C83008">
              <w:rPr>
                <w:rFonts w:ascii="Times New Roman" w:eastAsia="Times New Roman" w:hAnsi="Times New Roman" w:cs="Times New Roman"/>
                <w:sz w:val="24"/>
                <w:szCs w:val="24"/>
                <w:lang w:eastAsia="ru-RU"/>
              </w:rPr>
              <w:t>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одна штука</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Молоко і молочні продукти, рослинні напої, до яких додано </w:t>
            </w:r>
            <w:r w:rsidRPr="00C83008">
              <w:rPr>
                <w:rFonts w:ascii="Times New Roman" w:eastAsia="Times New Roman" w:hAnsi="Times New Roman" w:cs="Times New Roman"/>
                <w:sz w:val="24"/>
                <w:szCs w:val="24"/>
                <w:lang w:eastAsia="ru-RU"/>
              </w:rPr>
              <w:lastRenderedPageBreak/>
              <w:t>вітаміни та мінеральні речовини</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з кількістю цукрів не більше 10 грамів на 100 грамів, бажано молоко та молочні продукти, до яких додано вітамін D</w:t>
            </w:r>
          </w:p>
        </w:tc>
        <w:tc>
          <w:tcPr>
            <w:tcW w:w="1200" w:type="pct"/>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по одній порції під час сніданку та вечері</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20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рази на тиждень під час обіду</w:t>
            </w:r>
          </w:p>
        </w:tc>
        <w:tc>
          <w:tcPr>
            <w:tcW w:w="700" w:type="pct"/>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10 порцій</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before="20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три порції</w:t>
            </w:r>
          </w:p>
        </w:tc>
        <w:tc>
          <w:tcPr>
            <w:tcW w:w="1110" w:type="pct"/>
            <w:gridSpan w:val="2"/>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 xml:space="preserve">200 мілілітрів молока або рослинних напоїв або 125 мілілітрів йогурту або кефіру, або 125 грамів сиру </w:t>
            </w:r>
            <w:r w:rsidRPr="00C83008">
              <w:rPr>
                <w:rFonts w:ascii="Times New Roman" w:eastAsia="Times New Roman" w:hAnsi="Times New Roman" w:cs="Times New Roman"/>
                <w:sz w:val="24"/>
                <w:szCs w:val="24"/>
                <w:lang w:eastAsia="ru-RU"/>
              </w:rPr>
              <w:lastRenderedPageBreak/>
              <w:t>кисломолочного, або 75 грамів сиру м’якого, або 15 грамів сиру твердого, або 25 грамів сметани</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75 грамів сиру м’якого або 15 грамів сиру твердого, або 25 грамів сметани</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Насичені жири тваринного походження</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масло вершкове, що містить не менше ніж 72 відсотки жиру</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tcPr>
          <w:p w:rsidR="00C83008" w:rsidRPr="00C83008" w:rsidRDefault="00C83008" w:rsidP="00C83008">
            <w:pPr>
              <w:spacing w:before="120" w:after="0" w:line="228" w:lineRule="auto"/>
              <w:jc w:val="both"/>
              <w:rPr>
                <w:rFonts w:ascii="Times New Roman" w:eastAsia="Times New Roman" w:hAnsi="Times New Roman" w:cs="Times New Roman"/>
                <w:lang w:eastAsia="ru-RU"/>
              </w:rPr>
            </w:pPr>
            <w:r w:rsidRPr="00C83008">
              <w:rPr>
                <w:rFonts w:ascii="Times New Roman" w:eastAsia="Times New Roman" w:hAnsi="Times New Roman" w:cs="Times New Roman"/>
                <w:lang w:eastAsia="ru-RU"/>
              </w:rPr>
              <w:t>по п’ять порцій на сніданок та вечерю</w:t>
            </w:r>
          </w:p>
          <w:p w:rsidR="00C83008" w:rsidRPr="00C83008" w:rsidRDefault="00C83008" w:rsidP="00C83008">
            <w:pPr>
              <w:spacing w:after="0" w:line="228" w:lineRule="auto"/>
              <w:jc w:val="both"/>
              <w:rPr>
                <w:rFonts w:ascii="Times New Roman" w:eastAsia="Times New Roman" w:hAnsi="Times New Roman" w:cs="Times New Roman"/>
                <w:lang w:eastAsia="ru-RU"/>
              </w:rPr>
            </w:pPr>
            <w:r w:rsidRPr="00C83008">
              <w:rPr>
                <w:rFonts w:ascii="Times New Roman" w:eastAsia="Times New Roman" w:hAnsi="Times New Roman" w:cs="Times New Roman"/>
                <w:lang w:eastAsia="ru-RU"/>
              </w:rPr>
              <w:t>п</w:t>
            </w:r>
            <w:r w:rsidRPr="00C83008">
              <w:rPr>
                <w:rFonts w:ascii="Times New Roman" w:eastAsia="Times New Roman" w:hAnsi="Times New Roman" w:cs="Times New Roman"/>
                <w:lang w:val="en-US" w:eastAsia="ru-RU"/>
              </w:rPr>
              <w:t>’</w:t>
            </w:r>
            <w:r w:rsidRPr="00C83008">
              <w:rPr>
                <w:rFonts w:ascii="Times New Roman" w:eastAsia="Times New Roman" w:hAnsi="Times New Roman" w:cs="Times New Roman"/>
                <w:lang w:eastAsia="ru-RU"/>
              </w:rPr>
              <w:t>ять порцій на обід</w:t>
            </w:r>
          </w:p>
        </w:tc>
        <w:tc>
          <w:tcPr>
            <w:tcW w:w="1110" w:type="pct"/>
            <w:gridSpan w:val="2"/>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3,5 грама</w:t>
            </w: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5 грамів</w:t>
            </w:r>
          </w:p>
        </w:tc>
      </w:tr>
      <w:tr w:rsidR="00C83008" w:rsidRPr="00C83008" w:rsidTr="00497619">
        <w:tc>
          <w:tcPr>
            <w:tcW w:w="741"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Рослинні жири</w:t>
            </w:r>
          </w:p>
        </w:tc>
        <w:tc>
          <w:tcPr>
            <w:tcW w:w="1249"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рафінована олія, що містить більше 50 відсотків мононенасичених жирів і менше ніж 40 відсотків поліненасичених жирів</w:t>
            </w:r>
          </w:p>
        </w:tc>
        <w:tc>
          <w:tcPr>
            <w:tcW w:w="12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hideMark/>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по п’ять порцій на сніданок та вечерю</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w:t>
            </w:r>
            <w:r w:rsidRPr="00C83008">
              <w:rPr>
                <w:rFonts w:ascii="Times New Roman" w:eastAsia="Times New Roman" w:hAnsi="Times New Roman" w:cs="Times New Roman"/>
                <w:sz w:val="24"/>
                <w:szCs w:val="24"/>
                <w:lang w:val="en-US" w:eastAsia="ru-RU"/>
              </w:rPr>
              <w:t>’</w:t>
            </w:r>
            <w:r w:rsidRPr="00C83008">
              <w:rPr>
                <w:rFonts w:ascii="Times New Roman" w:eastAsia="Times New Roman" w:hAnsi="Times New Roman" w:cs="Times New Roman"/>
                <w:sz w:val="24"/>
                <w:szCs w:val="24"/>
                <w:lang w:eastAsia="ru-RU"/>
              </w:rPr>
              <w:t>ять порцій на обід</w:t>
            </w:r>
          </w:p>
        </w:tc>
        <w:tc>
          <w:tcPr>
            <w:tcW w:w="1110" w:type="pct"/>
            <w:gridSpan w:val="2"/>
          </w:tcPr>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6,5 мілілітра</w:t>
            </w:r>
          </w:p>
          <w:p w:rsidR="00C83008" w:rsidRPr="00C83008" w:rsidRDefault="00C83008" w:rsidP="00C83008">
            <w:pPr>
              <w:spacing w:before="120"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28"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мілілітрів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 xml:space="preserve">Сіль </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кількість солі в готових продуктах і стравах обмежується, використовується лише йодована сіль</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порцій</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1,5 грама</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Цукор</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обмежується додавання цукру та меду під час приготування страв і напоїв</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щодня під час сніданку, обіду та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по п’ять порцій на сніданок та вечерю</w:t>
            </w:r>
          </w:p>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п</w:t>
            </w:r>
            <w:r w:rsidRPr="00C83008">
              <w:rPr>
                <w:rFonts w:ascii="Times New Roman" w:eastAsia="Times New Roman" w:hAnsi="Times New Roman" w:cs="Times New Roman"/>
                <w:sz w:val="24"/>
                <w:szCs w:val="24"/>
                <w:lang w:val="en-US" w:eastAsia="ru-RU"/>
              </w:rPr>
              <w:t>’</w:t>
            </w:r>
            <w:r w:rsidRPr="00C83008">
              <w:rPr>
                <w:rFonts w:ascii="Times New Roman" w:eastAsia="Times New Roman" w:hAnsi="Times New Roman" w:cs="Times New Roman"/>
                <w:sz w:val="24"/>
                <w:szCs w:val="24"/>
                <w:lang w:eastAsia="ru-RU"/>
              </w:rPr>
              <w:t>ять порцій на обід</w:t>
            </w:r>
          </w:p>
        </w:tc>
        <w:tc>
          <w:tcPr>
            <w:tcW w:w="1110" w:type="pct"/>
            <w:gridSpan w:val="2"/>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7,5 грама</w:t>
            </w:r>
          </w:p>
          <w:p w:rsidR="00C83008" w:rsidRPr="00C83008" w:rsidRDefault="00C83008" w:rsidP="00C83008">
            <w:pPr>
              <w:spacing w:after="0" w:line="240" w:lineRule="auto"/>
              <w:jc w:val="both"/>
              <w:rPr>
                <w:rFonts w:ascii="Times New Roman" w:eastAsia="Times New Roman" w:hAnsi="Times New Roman" w:cs="Times New Roman"/>
                <w:sz w:val="24"/>
                <w:szCs w:val="24"/>
                <w:lang w:eastAsia="ru-RU"/>
              </w:rPr>
            </w:pPr>
          </w:p>
          <w:p w:rsidR="00C83008" w:rsidRPr="00C83008" w:rsidRDefault="00C83008" w:rsidP="00C83008">
            <w:pPr>
              <w:spacing w:after="0" w:line="240" w:lineRule="auto"/>
              <w:jc w:val="both"/>
              <w:rPr>
                <w:rFonts w:ascii="Times New Roman" w:eastAsia="Times New Roman" w:hAnsi="Times New Roman" w:cs="Times New Roman"/>
                <w:sz w:val="24"/>
                <w:szCs w:val="24"/>
                <w:lang w:eastAsia="ru-RU"/>
              </w:rPr>
            </w:pPr>
          </w:p>
          <w:p w:rsidR="00C83008" w:rsidRPr="00C83008" w:rsidRDefault="00C83008" w:rsidP="00C83008">
            <w:pPr>
              <w:spacing w:before="16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10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lastRenderedPageBreak/>
              <w:t>Какао</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без додавання цукрів та підсолоджувачів</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6 грамів</w:t>
            </w:r>
          </w:p>
        </w:tc>
      </w:tr>
      <w:tr w:rsidR="00C83008" w:rsidRPr="00C83008" w:rsidTr="00497619">
        <w:tc>
          <w:tcPr>
            <w:tcW w:w="741"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Чай</w:t>
            </w:r>
          </w:p>
        </w:tc>
        <w:tc>
          <w:tcPr>
            <w:tcW w:w="1249"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без додавання цукрів та підсолоджувачів</w:t>
            </w:r>
          </w:p>
        </w:tc>
        <w:tc>
          <w:tcPr>
            <w:tcW w:w="12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00" w:type="pct"/>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дві порції</w:t>
            </w:r>
          </w:p>
        </w:tc>
        <w:tc>
          <w:tcPr>
            <w:tcW w:w="1110" w:type="pct"/>
            <w:gridSpan w:val="2"/>
            <w:hideMark/>
          </w:tcPr>
          <w:p w:rsidR="00C83008" w:rsidRPr="00C83008" w:rsidRDefault="00C83008" w:rsidP="00C83008">
            <w:pPr>
              <w:spacing w:before="120" w:after="0" w:line="240" w:lineRule="auto"/>
              <w:jc w:val="both"/>
              <w:rPr>
                <w:rFonts w:ascii="Times New Roman" w:eastAsia="Times New Roman" w:hAnsi="Times New Roman" w:cs="Times New Roman"/>
                <w:sz w:val="24"/>
                <w:szCs w:val="24"/>
                <w:lang w:eastAsia="ru-RU"/>
              </w:rPr>
            </w:pPr>
            <w:r w:rsidRPr="00C83008">
              <w:rPr>
                <w:rFonts w:ascii="Times New Roman" w:eastAsia="Times New Roman" w:hAnsi="Times New Roman" w:cs="Times New Roman"/>
                <w:sz w:val="24"/>
                <w:szCs w:val="24"/>
                <w:lang w:eastAsia="ru-RU"/>
              </w:rPr>
              <w:t>0,5 грама</w:t>
            </w:r>
          </w:p>
        </w:tc>
      </w:tr>
    </w:tbl>
    <w:p w:rsidR="00C83008" w:rsidRPr="00C83008" w:rsidRDefault="00C83008" w:rsidP="00C83008">
      <w:pPr>
        <w:ind w:hanging="2"/>
        <w:jc w:val="center"/>
        <w:rPr>
          <w:rFonts w:ascii="Times New Roman" w:eastAsia="Times New Roman" w:hAnsi="Times New Roman" w:cs="Times New Roman"/>
          <w:b/>
          <w:sz w:val="24"/>
          <w:szCs w:val="24"/>
          <w:lang w:eastAsia="uk-UA"/>
        </w:rPr>
        <w:sectPr w:rsidR="00C83008" w:rsidRPr="00C83008">
          <w:pgSz w:w="11907" w:h="16840"/>
          <w:pgMar w:top="850" w:right="850" w:bottom="850" w:left="1417" w:header="708" w:footer="708" w:gutter="0"/>
          <w:cols w:space="720"/>
        </w:sectPr>
      </w:pPr>
    </w:p>
    <w:p w:rsidR="00C83008" w:rsidRPr="00C83008" w:rsidRDefault="00C83008" w:rsidP="00C83008">
      <w:pPr>
        <w:spacing w:before="240" w:after="240"/>
        <w:ind w:hanging="2"/>
        <w:jc w:val="both"/>
        <w:rPr>
          <w:rFonts w:ascii="Times New Roman" w:eastAsia="Times New Roman" w:hAnsi="Times New Roman" w:cs="Times New Roman"/>
          <w:b/>
          <w:sz w:val="24"/>
          <w:szCs w:val="24"/>
          <w:lang w:eastAsia="uk-UA"/>
        </w:rPr>
      </w:pPr>
      <w:r w:rsidRPr="00C83008">
        <w:rPr>
          <w:rFonts w:ascii="Times New Roman" w:eastAsia="Times New Roman" w:hAnsi="Times New Roman" w:cs="Times New Roman"/>
          <w:b/>
          <w:sz w:val="24"/>
          <w:szCs w:val="24"/>
          <w:lang w:eastAsia="uk-UA"/>
        </w:rPr>
        <w:lastRenderedPageBreak/>
        <w:t>ПРИМІТКА:</w:t>
      </w:r>
    </w:p>
    <w:p w:rsidR="00C83008" w:rsidRPr="00C83008" w:rsidRDefault="00C83008" w:rsidP="00C83008">
      <w:pPr>
        <w:shd w:val="clear" w:color="auto" w:fill="FFFFFF"/>
        <w:spacing w:after="150" w:line="276" w:lineRule="auto"/>
        <w:ind w:hanging="2"/>
        <w:jc w:val="both"/>
        <w:rPr>
          <w:rFonts w:ascii="Times New Roman" w:eastAsia="Times New Roman" w:hAnsi="Times New Roman" w:cs="Times New Roman"/>
          <w:sz w:val="24"/>
          <w:szCs w:val="24"/>
          <w:lang w:eastAsia="uk-UA"/>
        </w:rPr>
      </w:pPr>
      <w:r w:rsidRPr="00C83008">
        <w:rPr>
          <w:rFonts w:ascii="Times New Roman" w:eastAsia="Times New Roman" w:hAnsi="Times New Roman" w:cs="Times New Roman"/>
          <w:sz w:val="24"/>
          <w:szCs w:val="24"/>
          <w:lang w:eastAsia="uk-UA"/>
        </w:rPr>
        <w:t>Меню-розклад складається на основі примірного чотиритижневого сезонного меню з урахуванням технологічної документації на страви та вироби. </w:t>
      </w:r>
      <w:hyperlink r:id="rId6" w:anchor="w1_10">
        <w:r w:rsidRPr="00C83008">
          <w:rPr>
            <w:rFonts w:ascii="Times New Roman" w:eastAsia="Times New Roman" w:hAnsi="Times New Roman" w:cs="Times New Roman"/>
            <w:sz w:val="24"/>
            <w:szCs w:val="24"/>
            <w:u w:val="single"/>
            <w:lang w:eastAsia="uk-UA"/>
          </w:rPr>
          <w:t>Замін</w:t>
        </w:r>
      </w:hyperlink>
      <w:r w:rsidRPr="00C83008">
        <w:rPr>
          <w:rFonts w:ascii="Times New Roman" w:eastAsia="Times New Roman" w:hAnsi="Times New Roman" w:cs="Times New Roman"/>
          <w:sz w:val="24"/>
          <w:szCs w:val="24"/>
          <w:lang w:eastAsia="uk-UA"/>
        </w:rPr>
        <w:t>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C83008" w:rsidRPr="00C83008" w:rsidRDefault="00C83008" w:rsidP="00C83008">
      <w:pPr>
        <w:spacing w:before="240" w:after="240"/>
        <w:ind w:hanging="2"/>
        <w:jc w:val="center"/>
        <w:rPr>
          <w:rFonts w:eastAsia="Times New Roman"/>
          <w:b/>
          <w:sz w:val="24"/>
          <w:szCs w:val="24"/>
          <w:lang w:eastAsia="uk-UA"/>
        </w:rPr>
      </w:pPr>
    </w:p>
    <w:p w:rsidR="00ED086F" w:rsidRPr="001B4540" w:rsidRDefault="00ED086F">
      <w:pPr>
        <w:spacing w:before="240" w:after="0" w:line="240" w:lineRule="auto"/>
        <w:jc w:val="center"/>
        <w:rPr>
          <w:rFonts w:ascii="Times New Roman" w:eastAsia="Times New Roman" w:hAnsi="Times New Roman" w:cs="Times New Roman"/>
          <w:b/>
          <w:i/>
          <w:color w:val="000000"/>
          <w:sz w:val="28"/>
          <w:szCs w:val="28"/>
        </w:rPr>
      </w:pPr>
      <w:bookmarkStart w:id="1" w:name="_GoBack"/>
      <w:bookmarkEnd w:id="1"/>
    </w:p>
    <w:sectPr w:rsidR="00ED086F" w:rsidRPr="001B454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6F0E"/>
    <w:multiLevelType w:val="multilevel"/>
    <w:tmpl w:val="8EACD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6F"/>
    <w:rsid w:val="00151578"/>
    <w:rsid w:val="001A0BF8"/>
    <w:rsid w:val="001B4540"/>
    <w:rsid w:val="001F53A2"/>
    <w:rsid w:val="00C83008"/>
    <w:rsid w:val="00D6403B"/>
    <w:rsid w:val="00D945C3"/>
    <w:rsid w:val="00E44A2C"/>
    <w:rsid w:val="00ED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AEEB2-DE1D-4246-ADED-F4F9F828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05-2021-%D0%BF?find=1&amp;text=%D0%B7%D0%B0%D0%BC%D1%96%D0%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10540</Characters>
  <Application>Microsoft Office Word</Application>
  <DocSecurity>0</DocSecurity>
  <Lines>87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5</cp:revision>
  <dcterms:created xsi:type="dcterms:W3CDTF">2022-12-22T13:29:00Z</dcterms:created>
  <dcterms:modified xsi:type="dcterms:W3CDTF">2022-12-22T14:14:00Z</dcterms:modified>
</cp:coreProperties>
</file>