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1E" w:rsidRPr="009459E0" w:rsidRDefault="00E9551E" w:rsidP="00E9551E">
      <w:pPr>
        <w:spacing w:line="240" w:lineRule="auto"/>
        <w:ind w:left="6237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9459E0">
        <w:rPr>
          <w:rFonts w:ascii="Times New Roman" w:hAnsi="Times New Roman" w:cs="Times New Roman"/>
          <w:b/>
          <w:bCs/>
          <w:i/>
          <w:iCs/>
          <w:color w:val="auto"/>
          <w:sz w:val="24"/>
          <w:szCs w:val="32"/>
          <w:lang w:val="uk-UA" w:eastAsia="uk-UA"/>
        </w:rPr>
        <w:t>Додаток № 4</w:t>
      </w:r>
      <w:r w:rsidRPr="009459E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</w:t>
      </w:r>
    </w:p>
    <w:p w:rsidR="00E9551E" w:rsidRPr="009459E0" w:rsidRDefault="00E9551E" w:rsidP="00E9551E">
      <w:pPr>
        <w:spacing w:line="240" w:lineRule="auto"/>
        <w:ind w:left="6237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9459E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до тендерної документації</w:t>
      </w:r>
    </w:p>
    <w:p w:rsidR="00E9551E" w:rsidRPr="009459E0" w:rsidRDefault="00E9551E" w:rsidP="00E9551E">
      <w:pPr>
        <w:spacing w:line="240" w:lineRule="auto"/>
        <w:ind w:left="7230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</w:p>
    <w:p w:rsidR="00E9551E" w:rsidRPr="009459E0" w:rsidRDefault="00E9551E" w:rsidP="00E9551E">
      <w:pPr>
        <w:spacing w:line="240" w:lineRule="auto"/>
        <w:ind w:firstLine="1"/>
        <w:jc w:val="center"/>
        <w:rPr>
          <w:rFonts w:ascii="Times New Roman" w:hAnsi="Times New Roman"/>
          <w:b/>
          <w:kern w:val="1"/>
          <w:sz w:val="24"/>
          <w:szCs w:val="28"/>
          <w:shd w:val="clear" w:color="auto" w:fill="FFFFFA"/>
          <w:lang w:val="uk-UA" w:eastAsia="hi-IN" w:bidi="hi-IN"/>
        </w:rPr>
      </w:pPr>
      <w:r w:rsidRPr="009459E0">
        <w:rPr>
          <w:rFonts w:ascii="Times New Roman" w:hAnsi="Times New Roman"/>
          <w:b/>
          <w:kern w:val="1"/>
          <w:sz w:val="24"/>
          <w:szCs w:val="28"/>
          <w:shd w:val="clear" w:color="auto" w:fill="FFFFFA"/>
          <w:lang w:val="uk-UA" w:eastAsia="hi-IN" w:bidi="hi-IN"/>
        </w:rPr>
        <w:t>ІНФОРМАЦІЯ ПРО НЕОБХІДНІ ТЕХНІЧНІ, ЯКІСНІ ТА КІЛЬКІСНІ ХАРАКТЕРИСТИКИ ПРЕДМЕТА ЗАКУПІВЛІ</w:t>
      </w:r>
    </w:p>
    <w:p w:rsidR="00E9551E" w:rsidRDefault="00493DDB" w:rsidP="00E9551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93DDB">
        <w:rPr>
          <w:rFonts w:ascii="Times New Roman" w:hAnsi="Times New Roman"/>
          <w:b/>
          <w:bCs/>
          <w:sz w:val="24"/>
          <w:szCs w:val="24"/>
          <w:lang w:val="uk-UA"/>
        </w:rPr>
        <w:t>К</w:t>
      </w:r>
      <w:r w:rsidRPr="00493DDB">
        <w:rPr>
          <w:rFonts w:ascii="Times New Roman" w:hAnsi="Times New Roman"/>
          <w:b/>
          <w:sz w:val="24"/>
          <w:szCs w:val="24"/>
          <w:lang w:val="uk-UA"/>
        </w:rPr>
        <w:t xml:space="preserve">од </w:t>
      </w:r>
      <w:proofErr w:type="spellStart"/>
      <w:r w:rsidRPr="00493DDB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493DDB">
        <w:rPr>
          <w:rFonts w:ascii="Times New Roman" w:hAnsi="Times New Roman"/>
          <w:b/>
          <w:sz w:val="24"/>
          <w:szCs w:val="24"/>
          <w:lang w:val="uk-UA"/>
        </w:rPr>
        <w:t xml:space="preserve"> 021</w:t>
      </w:r>
      <w:r w:rsidRPr="00493DDB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493DDB">
        <w:rPr>
          <w:rFonts w:ascii="Times New Roman" w:hAnsi="Times New Roman"/>
          <w:b/>
          <w:sz w:val="24"/>
          <w:szCs w:val="24"/>
          <w:lang w:val="uk-UA"/>
        </w:rPr>
        <w:t xml:space="preserve">2015 99999999-9 (Не відображене в інших розділах) Послуги з опалення твердопаливними котлами </w:t>
      </w:r>
      <w:r w:rsidRPr="00116C80">
        <w:rPr>
          <w:rFonts w:ascii="Times New Roman" w:hAnsi="Times New Roman"/>
          <w:b/>
          <w:sz w:val="24"/>
          <w:szCs w:val="24"/>
          <w:lang w:val="uk-UA"/>
        </w:rPr>
        <w:t xml:space="preserve">приміщень </w:t>
      </w:r>
      <w:proofErr w:type="spellStart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>Сарненської</w:t>
      </w:r>
      <w:proofErr w:type="spellEnd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 xml:space="preserve"> філії Рівненського обласного  центру зайнятості, </w:t>
      </w:r>
      <w:proofErr w:type="spellStart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>Дубровицького</w:t>
      </w:r>
      <w:proofErr w:type="spellEnd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 xml:space="preserve"> управління </w:t>
      </w:r>
      <w:proofErr w:type="spellStart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>Сарненської</w:t>
      </w:r>
      <w:proofErr w:type="spellEnd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 xml:space="preserve"> філії Рівненського обласного центру зайнятості, </w:t>
      </w:r>
      <w:proofErr w:type="spellStart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>Володимирецького</w:t>
      </w:r>
      <w:proofErr w:type="spellEnd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 xml:space="preserve"> та </w:t>
      </w:r>
      <w:proofErr w:type="spellStart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>Зарічненського</w:t>
      </w:r>
      <w:proofErr w:type="spellEnd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 xml:space="preserve"> управління </w:t>
      </w:r>
      <w:proofErr w:type="spellStart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>Вараської</w:t>
      </w:r>
      <w:proofErr w:type="spellEnd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 xml:space="preserve"> філії Рівненського обласного центру зайнятості, </w:t>
      </w:r>
      <w:proofErr w:type="spellStart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>Березнівського</w:t>
      </w:r>
      <w:proofErr w:type="spellEnd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 xml:space="preserve"> управління та </w:t>
      </w:r>
      <w:proofErr w:type="spellStart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>Корецького</w:t>
      </w:r>
      <w:proofErr w:type="spellEnd"/>
      <w:r w:rsidR="00116C80" w:rsidRPr="00116C80">
        <w:rPr>
          <w:rFonts w:ascii="Times New Roman" w:hAnsi="Times New Roman"/>
          <w:b/>
          <w:sz w:val="24"/>
          <w:szCs w:val="24"/>
          <w:lang w:val="uk-UA"/>
        </w:rPr>
        <w:t xml:space="preserve"> відділу Рівненської філії Рівненського обласного центру зайнятості</w:t>
      </w:r>
      <w:r w:rsidR="00116C80" w:rsidRPr="00493DD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93DDB">
        <w:rPr>
          <w:rFonts w:ascii="Times New Roman" w:hAnsi="Times New Roman"/>
          <w:b/>
          <w:sz w:val="24"/>
          <w:szCs w:val="24"/>
          <w:lang w:val="uk-UA"/>
        </w:rPr>
        <w:t>(послуги машиністів (кочегарів) котельні)</w:t>
      </w:r>
    </w:p>
    <w:p w:rsidR="00116C80" w:rsidRPr="00493DDB" w:rsidRDefault="00116C80" w:rsidP="00E9551E">
      <w:pPr>
        <w:spacing w:line="240" w:lineRule="auto"/>
        <w:ind w:firstLine="567"/>
        <w:jc w:val="both"/>
        <w:rPr>
          <w:rFonts w:ascii="Times New Roman" w:hAnsi="Times New Roman"/>
          <w:b/>
          <w:spacing w:val="7"/>
          <w:sz w:val="24"/>
          <w:szCs w:val="24"/>
          <w:highlight w:val="yellow"/>
          <w:lang w:val="uk-UA"/>
        </w:rPr>
      </w:pPr>
    </w:p>
    <w:p w:rsidR="00493DDB" w:rsidRPr="00A066EE" w:rsidRDefault="00493DDB" w:rsidP="00493DDB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</w:pPr>
      <w:r w:rsidRPr="0012505A">
        <w:rPr>
          <w:rFonts w:ascii="Times New Roman" w:hAnsi="Times New Roman" w:cs="Times New Roman"/>
          <w:b/>
          <w:bCs/>
          <w:i/>
          <w:iCs/>
          <w:color w:val="auto"/>
          <w:lang w:val="uk-UA"/>
        </w:rPr>
        <w:t>1</w:t>
      </w:r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>.Умови  надання послуг</w:t>
      </w:r>
      <w:r w:rsidR="00731CC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>: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6E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Учасник визначає ціну послуг, які він пропонує виконати, з урахуванням усіх своїх витрат, податків і зборів, що сплачуються або мають бути сплачені. </w:t>
      </w: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До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розрахунку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ціни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входять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усі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види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="001050A2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переліком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. Не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врахована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Учасником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вартість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окремих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сплачується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окремо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витрати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їх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виконання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вважаються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врахованими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загальній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ціні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його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До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розрахунку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ціни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включаються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витрати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понесені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ним у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процесі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здійснення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процедури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закупі</w:t>
      </w:r>
      <w:proofErr w:type="gram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вл</w:t>
      </w:r>
      <w:proofErr w:type="gramEnd"/>
      <w:r w:rsidRPr="00A066EE">
        <w:rPr>
          <w:rFonts w:ascii="Times New Roman" w:hAnsi="Times New Roman" w:cs="Times New Roman"/>
          <w:color w:val="auto"/>
          <w:sz w:val="24"/>
          <w:szCs w:val="24"/>
        </w:rPr>
        <w:t>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зокрема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витрати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на оплату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інформаційних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систем в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мережі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Інтернет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93DDB" w:rsidRPr="00A066EE" w:rsidRDefault="00493DDB" w:rsidP="00493DDB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050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Надання</w:t>
      </w:r>
      <w:proofErr w:type="spellEnd"/>
      <w:r w:rsidRPr="001050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050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послуг</w:t>
      </w:r>
      <w:proofErr w:type="spellEnd"/>
      <w:r w:rsidRPr="001050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050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передбачає</w:t>
      </w:r>
      <w:proofErr w:type="spellEnd"/>
      <w:r w:rsidRPr="001050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050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здійснення</w:t>
      </w:r>
      <w:proofErr w:type="spellEnd"/>
      <w:r w:rsidRPr="001050A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050A2">
        <w:rPr>
          <w:rFonts w:ascii="Times New Roman" w:hAnsi="Times New Roman" w:cs="Times New Roman"/>
          <w:color w:val="auto"/>
          <w:sz w:val="24"/>
          <w:szCs w:val="24"/>
        </w:rPr>
        <w:t xml:space="preserve">комплексу </w:t>
      </w:r>
      <w:proofErr w:type="spellStart"/>
      <w:r w:rsidRPr="001050A2">
        <w:rPr>
          <w:rFonts w:ascii="Times New Roman" w:hAnsi="Times New Roman" w:cs="Times New Roman"/>
          <w:color w:val="auto"/>
          <w:sz w:val="24"/>
          <w:szCs w:val="24"/>
        </w:rPr>
        <w:t>робіт</w:t>
      </w:r>
      <w:proofErr w:type="spellEnd"/>
      <w:r w:rsidRPr="001050A2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1050A2">
        <w:rPr>
          <w:rFonts w:ascii="Times New Roman" w:hAnsi="Times New Roman" w:cs="Times New Roman"/>
          <w:color w:val="auto"/>
          <w:sz w:val="24"/>
          <w:szCs w:val="24"/>
        </w:rPr>
        <w:t>опалювальний</w:t>
      </w:r>
      <w:proofErr w:type="spellEnd"/>
      <w:r w:rsidRPr="001050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050A2">
        <w:rPr>
          <w:rFonts w:ascii="Times New Roman" w:hAnsi="Times New Roman" w:cs="Times New Roman"/>
          <w:color w:val="auto"/>
          <w:sz w:val="24"/>
          <w:szCs w:val="24"/>
        </w:rPr>
        <w:t>період</w:t>
      </w:r>
      <w:proofErr w:type="spellEnd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, </w:t>
      </w:r>
      <w:proofErr w:type="spellStart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>спрямованих</w:t>
      </w:r>
      <w:proofErr w:type="spellEnd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на </w:t>
      </w:r>
      <w:proofErr w:type="spellStart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>забезпечення</w:t>
      </w:r>
      <w:proofErr w:type="spellEnd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proofErr w:type="spellStart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>додержання</w:t>
      </w:r>
      <w:proofErr w:type="spellEnd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температурного режиму в </w:t>
      </w:r>
      <w:proofErr w:type="spellStart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>приміщеннях</w:t>
      </w:r>
      <w:proofErr w:type="spellEnd"/>
      <w:r w:rsidRPr="001050A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proofErr w:type="spellStart"/>
      <w:r w:rsidR="001050A2" w:rsidRPr="001050A2">
        <w:rPr>
          <w:rFonts w:ascii="Times New Roman" w:hAnsi="Times New Roman"/>
          <w:sz w:val="24"/>
          <w:szCs w:val="24"/>
          <w:lang w:val="uk-UA"/>
        </w:rPr>
        <w:t>Сарненської</w:t>
      </w:r>
      <w:proofErr w:type="spell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 філії </w:t>
      </w:r>
      <w:proofErr w:type="gramStart"/>
      <w:r w:rsidR="001050A2" w:rsidRPr="001050A2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івненського обласного  центру зайнятості, </w:t>
      </w:r>
      <w:proofErr w:type="spellStart"/>
      <w:r w:rsidR="001050A2" w:rsidRPr="001050A2">
        <w:rPr>
          <w:rFonts w:ascii="Times New Roman" w:hAnsi="Times New Roman"/>
          <w:sz w:val="24"/>
          <w:szCs w:val="24"/>
          <w:lang w:val="uk-UA"/>
        </w:rPr>
        <w:t>Дубровицького</w:t>
      </w:r>
      <w:proofErr w:type="spell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 управління </w:t>
      </w:r>
      <w:proofErr w:type="spellStart"/>
      <w:r w:rsidR="001050A2" w:rsidRPr="001050A2">
        <w:rPr>
          <w:rFonts w:ascii="Times New Roman" w:hAnsi="Times New Roman"/>
          <w:sz w:val="24"/>
          <w:szCs w:val="24"/>
          <w:lang w:val="uk-UA"/>
        </w:rPr>
        <w:t>Сарненської</w:t>
      </w:r>
      <w:proofErr w:type="spell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 філії Рівненського обласного центру зайнятості, </w:t>
      </w:r>
      <w:proofErr w:type="spellStart"/>
      <w:r w:rsidR="001050A2" w:rsidRPr="001050A2">
        <w:rPr>
          <w:rFonts w:ascii="Times New Roman" w:hAnsi="Times New Roman"/>
          <w:sz w:val="24"/>
          <w:szCs w:val="24"/>
          <w:lang w:val="uk-UA"/>
        </w:rPr>
        <w:t>Володимирецького</w:t>
      </w:r>
      <w:proofErr w:type="spell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1050A2" w:rsidRPr="001050A2">
        <w:rPr>
          <w:rFonts w:ascii="Times New Roman" w:hAnsi="Times New Roman"/>
          <w:sz w:val="24"/>
          <w:szCs w:val="24"/>
          <w:lang w:val="uk-UA"/>
        </w:rPr>
        <w:t>Зарічненського</w:t>
      </w:r>
      <w:proofErr w:type="spell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 управління </w:t>
      </w:r>
      <w:proofErr w:type="spellStart"/>
      <w:r w:rsidR="001050A2" w:rsidRPr="001050A2">
        <w:rPr>
          <w:rFonts w:ascii="Times New Roman" w:hAnsi="Times New Roman"/>
          <w:sz w:val="24"/>
          <w:szCs w:val="24"/>
          <w:lang w:val="uk-UA"/>
        </w:rPr>
        <w:t>Вараської</w:t>
      </w:r>
      <w:proofErr w:type="spell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 філії Рівненського обласного центру зайнятості, </w:t>
      </w:r>
      <w:proofErr w:type="spellStart"/>
      <w:r w:rsidR="001050A2" w:rsidRPr="001050A2">
        <w:rPr>
          <w:rFonts w:ascii="Times New Roman" w:hAnsi="Times New Roman"/>
          <w:sz w:val="24"/>
          <w:szCs w:val="24"/>
          <w:lang w:val="uk-UA"/>
        </w:rPr>
        <w:t>Березнівського</w:t>
      </w:r>
      <w:proofErr w:type="spell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 управління та </w:t>
      </w:r>
      <w:proofErr w:type="spellStart"/>
      <w:r w:rsidR="001050A2" w:rsidRPr="001050A2">
        <w:rPr>
          <w:rFonts w:ascii="Times New Roman" w:hAnsi="Times New Roman"/>
          <w:sz w:val="24"/>
          <w:szCs w:val="24"/>
          <w:lang w:val="uk-UA"/>
        </w:rPr>
        <w:t>Корецького</w:t>
      </w:r>
      <w:proofErr w:type="spellEnd"/>
      <w:r w:rsidR="001050A2" w:rsidRPr="001050A2">
        <w:rPr>
          <w:rFonts w:ascii="Times New Roman" w:hAnsi="Times New Roman"/>
          <w:sz w:val="24"/>
          <w:szCs w:val="24"/>
          <w:lang w:val="uk-UA"/>
        </w:rPr>
        <w:t xml:space="preserve"> відділу Рівненської філії Рівненського обласного центру зайнятості (далі – структурні підрозділи Рівненського обласного центру зайнятості)</w:t>
      </w:r>
      <w:r w:rsidR="00471FD7" w:rsidRPr="001050A2">
        <w:rPr>
          <w:rFonts w:ascii="Times New Roman" w:hAnsi="Times New Roman" w:cs="Times New Roman"/>
          <w:color w:val="auto"/>
          <w:spacing w:val="-4"/>
          <w:sz w:val="24"/>
          <w:szCs w:val="24"/>
          <w:lang w:val="uk-UA"/>
        </w:rPr>
        <w:t xml:space="preserve">, </w:t>
      </w:r>
      <w:proofErr w:type="spellStart"/>
      <w:r w:rsidRPr="00A066EE">
        <w:rPr>
          <w:rFonts w:ascii="Times New Roman" w:hAnsi="Times New Roman" w:cs="Times New Roman"/>
          <w:color w:val="auto"/>
          <w:spacing w:val="-4"/>
          <w:sz w:val="24"/>
          <w:szCs w:val="24"/>
        </w:rPr>
        <w:t>утримання</w:t>
      </w:r>
      <w:proofErr w:type="spellEnd"/>
      <w:r w:rsidRPr="00A066E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в</w:t>
      </w: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належному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санітарному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71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та протипожежному </w:t>
      </w:r>
      <w:proofErr w:type="spellStart"/>
      <w:r w:rsidRPr="009A7132">
        <w:rPr>
          <w:rFonts w:ascii="Times New Roman" w:hAnsi="Times New Roman" w:cs="Times New Roman"/>
          <w:color w:val="auto"/>
          <w:sz w:val="24"/>
          <w:szCs w:val="24"/>
        </w:rPr>
        <w:t>стані</w:t>
      </w:r>
      <w:proofErr w:type="spellEnd"/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proofErr w:type="spellStart"/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>котелень</w:t>
      </w:r>
      <w:proofErr w:type="spellEnd"/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891042">
        <w:rPr>
          <w:rFonts w:ascii="Times New Roman" w:hAnsi="Times New Roman" w:cs="Times New Roman"/>
          <w:color w:val="auto"/>
          <w:spacing w:val="-4"/>
          <w:sz w:val="24"/>
          <w:szCs w:val="24"/>
          <w:lang w:val="uk-UA"/>
        </w:rPr>
        <w:t>структурних підрозділів</w:t>
      </w:r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proofErr w:type="spellStart"/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>Рівненського</w:t>
      </w:r>
      <w:proofErr w:type="spellEnd"/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proofErr w:type="spellStart"/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>обласного</w:t>
      </w:r>
      <w:proofErr w:type="spellEnd"/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центру </w:t>
      </w:r>
      <w:proofErr w:type="spellStart"/>
      <w:r w:rsidRPr="009A7132">
        <w:rPr>
          <w:rFonts w:ascii="Times New Roman" w:hAnsi="Times New Roman" w:cs="Times New Roman"/>
          <w:color w:val="auto"/>
          <w:spacing w:val="-4"/>
          <w:sz w:val="24"/>
          <w:szCs w:val="24"/>
        </w:rPr>
        <w:t>зайнятості</w:t>
      </w:r>
      <w:proofErr w:type="spellEnd"/>
      <w:r w:rsidRPr="009A713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050A2" w:rsidRPr="001050A2" w:rsidRDefault="00493DDB" w:rsidP="00493DDB">
      <w:pPr>
        <w:tabs>
          <w:tab w:val="left" w:pos="7860"/>
        </w:tabs>
        <w:spacing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Учасник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(в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подальшому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Виконавець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послуг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) повинен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забезпечити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надання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послуг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машиністами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(кочегарами)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котельні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, по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обслуговуванню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твердопаливних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котлів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наданням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відповідних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до </w:t>
      </w:r>
      <w:proofErr w:type="gramStart"/>
      <w:r w:rsidRPr="00A066EE">
        <w:rPr>
          <w:rFonts w:ascii="Times New Roman" w:eastAsia="MS Mincho" w:hAnsi="Times New Roman" w:cs="Times New Roman"/>
          <w:sz w:val="24"/>
          <w:szCs w:val="24"/>
        </w:rPr>
        <w:t>чинного</w:t>
      </w:r>
      <w:proofErr w:type="gram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законодавства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документів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про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проходження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ними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відповідного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навчання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>).</w:t>
      </w:r>
      <w:r w:rsidRPr="00A06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Машиністи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кочегари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котельні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, робота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яких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66EE">
        <w:rPr>
          <w:rFonts w:ascii="Times New Roman" w:eastAsia="MS Mincho" w:hAnsi="Times New Roman" w:cs="Times New Roman"/>
          <w:sz w:val="24"/>
          <w:szCs w:val="24"/>
        </w:rPr>
        <w:t>пов‘язана</w:t>
      </w:r>
      <w:proofErr w:type="spellEnd"/>
      <w:proofErr w:type="gram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обслуговуванням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котельних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установок, установлено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особливі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умови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виконання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виробничих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функцій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, у тому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числі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безпечного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ведення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робіт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запобігання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аварійності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виробничому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травматизму. Вони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повинні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знати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й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дотримуватися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нормативних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актів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охорони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праці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9A713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техніки безпеки та протипожежної безпеки </w:t>
      </w:r>
      <w:r w:rsidRPr="009A713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A7132">
        <w:rPr>
          <w:rFonts w:ascii="Times New Roman" w:eastAsia="MS Mincho" w:hAnsi="Times New Roman" w:cs="Times New Roman"/>
          <w:sz w:val="24"/>
          <w:szCs w:val="24"/>
        </w:rPr>
        <w:t>виробничих</w:t>
      </w:r>
      <w:proofErr w:type="spellEnd"/>
      <w:r w:rsidRPr="009A713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9A7132">
        <w:rPr>
          <w:rFonts w:ascii="Times New Roman" w:eastAsia="MS Mincho" w:hAnsi="Times New Roman" w:cs="Times New Roman"/>
          <w:sz w:val="24"/>
          <w:szCs w:val="24"/>
        </w:rPr>
        <w:t>експлуатаційних</w:t>
      </w:r>
      <w:proofErr w:type="spellEnd"/>
      <w:r w:rsidRPr="009A7132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9A7132">
        <w:rPr>
          <w:rFonts w:ascii="Times New Roman" w:eastAsia="MS Mincho" w:hAnsi="Times New Roman" w:cs="Times New Roman"/>
          <w:sz w:val="24"/>
          <w:szCs w:val="24"/>
        </w:rPr>
        <w:t>інструкцій</w:t>
      </w:r>
      <w:proofErr w:type="spellEnd"/>
      <w:r w:rsidRPr="009A713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A7132">
        <w:rPr>
          <w:rFonts w:ascii="Times New Roman" w:eastAsia="MS Mincho" w:hAnsi="Times New Roman" w:cs="Times New Roman"/>
          <w:sz w:val="24"/>
          <w:szCs w:val="24"/>
        </w:rPr>
        <w:t>тощо</w:t>
      </w:r>
      <w:proofErr w:type="spellEnd"/>
      <w:r w:rsidRPr="009A7132">
        <w:rPr>
          <w:rFonts w:ascii="Times New Roman" w:eastAsia="MS Mincho" w:hAnsi="Times New Roman" w:cs="Times New Roman"/>
          <w:sz w:val="24"/>
          <w:szCs w:val="24"/>
        </w:rPr>
        <w:t xml:space="preserve"> та </w:t>
      </w:r>
      <w:proofErr w:type="spellStart"/>
      <w:r w:rsidRPr="009A7132">
        <w:rPr>
          <w:rFonts w:ascii="Times New Roman" w:eastAsia="MS Mincho" w:hAnsi="Times New Roman" w:cs="Times New Roman"/>
          <w:sz w:val="24"/>
          <w:szCs w:val="24"/>
        </w:rPr>
        <w:t>мати</w:t>
      </w:r>
      <w:proofErr w:type="spellEnd"/>
      <w:r w:rsidRPr="009A713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A7132">
        <w:rPr>
          <w:rFonts w:ascii="Times New Roman" w:eastAsia="MS Mincho" w:hAnsi="Times New Roman" w:cs="Times New Roman"/>
          <w:sz w:val="24"/>
          <w:szCs w:val="24"/>
        </w:rPr>
        <w:t>відповідний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документ,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що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засвідчує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завершену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та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успішну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спеціальну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66EE">
        <w:rPr>
          <w:rFonts w:ascii="Times New Roman" w:eastAsia="MS Mincho" w:hAnsi="Times New Roman" w:cs="Times New Roman"/>
          <w:sz w:val="24"/>
          <w:szCs w:val="24"/>
        </w:rPr>
        <w:t>п</w:t>
      </w:r>
      <w:proofErr w:type="gramEnd"/>
      <w:r w:rsidRPr="00A066EE">
        <w:rPr>
          <w:rFonts w:ascii="Times New Roman" w:eastAsia="MS Mincho" w:hAnsi="Times New Roman" w:cs="Times New Roman"/>
          <w:sz w:val="24"/>
          <w:szCs w:val="24"/>
        </w:rPr>
        <w:t>ідготовку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до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виконання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цих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робіт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та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своєчасну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перевірку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знань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з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охорони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066EE">
        <w:rPr>
          <w:rFonts w:ascii="Times New Roman" w:eastAsia="MS Mincho" w:hAnsi="Times New Roman" w:cs="Times New Roman"/>
          <w:sz w:val="24"/>
          <w:szCs w:val="24"/>
        </w:rPr>
        <w:t>праці</w:t>
      </w:r>
      <w:proofErr w:type="spellEnd"/>
      <w:r w:rsidRPr="00A066EE">
        <w:rPr>
          <w:rFonts w:ascii="Times New Roman" w:eastAsia="MS Mincho" w:hAnsi="Times New Roman" w:cs="Times New Roman"/>
          <w:sz w:val="24"/>
          <w:szCs w:val="24"/>
        </w:rPr>
        <w:t>.</w:t>
      </w:r>
      <w:r w:rsidR="001050A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</w:p>
    <w:p w:rsidR="00493DDB" w:rsidRPr="00731CC5" w:rsidRDefault="00493DDB" w:rsidP="00493DDB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31CC5">
        <w:rPr>
          <w:rFonts w:ascii="Times New Roman" w:hAnsi="Times New Roman" w:cs="Times New Roman"/>
          <w:color w:val="auto"/>
          <w:sz w:val="24"/>
          <w:szCs w:val="24"/>
          <w:lang w:val="uk-UA"/>
        </w:rPr>
        <w:t>Учасник (в подальшому Виконавець послуг) повинен забезпечити надання послуг згідно вимог чинного законодавства України: норм з охорони праці, оплати праці,  інструкцій з пожежної безпеки, Закону України «Про охорону праці» від  14.10.1992 р. №2694-</w:t>
      </w:r>
      <w:r w:rsidRPr="00A066EE">
        <w:rPr>
          <w:rFonts w:ascii="Times New Roman" w:hAnsi="Times New Roman" w:cs="Times New Roman"/>
          <w:color w:val="auto"/>
          <w:sz w:val="24"/>
          <w:szCs w:val="24"/>
        </w:rPr>
        <w:t>XII</w:t>
      </w:r>
      <w:r w:rsidRPr="00731CC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(зі змінами),  Закону України «Про оплату праці» від 24.03.1995 № 108/95-ВР (зі змінами), НПАОП 0.00-1.81-18 Правила охорони праці під час експлуатації обладнання, що працює під тиском, тощо.</w:t>
      </w:r>
    </w:p>
    <w:p w:rsidR="00493DDB" w:rsidRPr="00CE2478" w:rsidRDefault="00493DDB" w:rsidP="00493DDB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1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1"/>
        <w:gridCol w:w="2892"/>
        <w:gridCol w:w="1206"/>
        <w:gridCol w:w="1120"/>
        <w:gridCol w:w="1501"/>
        <w:gridCol w:w="1531"/>
        <w:gridCol w:w="1488"/>
      </w:tblGrid>
      <w:tr w:rsidR="00493DDB" w:rsidRPr="0044248F" w:rsidTr="00F5396A">
        <w:trPr>
          <w:trHeight w:val="290"/>
        </w:trPr>
        <w:tc>
          <w:tcPr>
            <w:tcW w:w="10179" w:type="dxa"/>
            <w:gridSpan w:val="7"/>
            <w:vAlign w:val="center"/>
          </w:tcPr>
          <w:p w:rsidR="00493DDB" w:rsidRPr="0044248F" w:rsidRDefault="00493DDB" w:rsidP="00F5396A">
            <w:pPr>
              <w:widowControl w:val="0"/>
              <w:tabs>
                <w:tab w:val="left" w:pos="540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03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Характеристика </w:t>
            </w:r>
            <w:proofErr w:type="spellStart"/>
            <w:r w:rsidRPr="009E0302">
              <w:rPr>
                <w:rFonts w:ascii="Times New Roman" w:hAnsi="Times New Roman" w:cs="Times New Roman"/>
                <w:b/>
                <w:bCs/>
                <w:color w:val="auto"/>
              </w:rPr>
              <w:t>об’єктів</w:t>
            </w:r>
            <w:proofErr w:type="spellEnd"/>
            <w:r w:rsidRPr="009E03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опалення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9E03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та </w:t>
            </w:r>
            <w:proofErr w:type="spellStart"/>
            <w:r w:rsidRPr="009E0302">
              <w:rPr>
                <w:rFonts w:ascii="Times New Roman" w:hAnsi="Times New Roman" w:cs="Times New Roman"/>
                <w:b/>
                <w:bCs/>
                <w:color w:val="auto"/>
              </w:rPr>
              <w:t>їх</w:t>
            </w:r>
            <w:proofErr w:type="spellEnd"/>
            <w:r w:rsidRPr="009E03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9E0302">
              <w:rPr>
                <w:rFonts w:ascii="Times New Roman" w:hAnsi="Times New Roman" w:cs="Times New Roman"/>
                <w:b/>
                <w:bCs/>
                <w:color w:val="auto"/>
              </w:rPr>
              <w:t>місцезнаходження</w:t>
            </w:r>
            <w:proofErr w:type="spellEnd"/>
          </w:p>
        </w:tc>
      </w:tr>
      <w:tr w:rsidR="00493DDB" w:rsidRPr="009E0302" w:rsidTr="00F5396A">
        <w:trPr>
          <w:trHeight w:val="657"/>
        </w:trPr>
        <w:tc>
          <w:tcPr>
            <w:tcW w:w="441" w:type="dxa"/>
            <w:vAlign w:val="center"/>
          </w:tcPr>
          <w:p w:rsidR="00493DDB" w:rsidRPr="009E0302" w:rsidRDefault="00493DDB" w:rsidP="00F5396A">
            <w:pPr>
              <w:spacing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4248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№ </w:t>
            </w:r>
            <w:proofErr w:type="spellStart"/>
            <w:r w:rsidRPr="0044248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з</w:t>
            </w:r>
            <w:proofErr w:type="spellEnd"/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/</w:t>
            </w:r>
            <w:proofErr w:type="spellStart"/>
            <w:proofErr w:type="gramStart"/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892" w:type="dxa"/>
            <w:vAlign w:val="center"/>
          </w:tcPr>
          <w:p w:rsidR="00493DDB" w:rsidRPr="00E30F99" w:rsidRDefault="00E30F99" w:rsidP="00E30F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Місцезнаходження</w:t>
            </w:r>
            <w:proofErr w:type="spellEnd"/>
          </w:p>
        </w:tc>
        <w:tc>
          <w:tcPr>
            <w:tcW w:w="1206" w:type="dxa"/>
            <w:noWrap/>
            <w:vAlign w:val="center"/>
          </w:tcPr>
          <w:p w:rsidR="00493DDB" w:rsidRPr="009E0302" w:rsidRDefault="00493DDB" w:rsidP="00F5396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r w:rsidRPr="0044248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лоща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приміщень</w:t>
            </w:r>
            <w:proofErr w:type="spellEnd"/>
            <w:r w:rsidRPr="0044248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, м</w:t>
            </w:r>
            <w:proofErr w:type="gramStart"/>
            <w:r w:rsidRPr="0044248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20" w:type="dxa"/>
            <w:vAlign w:val="center"/>
          </w:tcPr>
          <w:p w:rsidR="00493DDB" w:rsidRPr="0044248F" w:rsidRDefault="00493DDB" w:rsidP="00F5396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Об’є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опалювальних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приміщень</w:t>
            </w:r>
            <w:proofErr w:type="spellEnd"/>
            <w:r w:rsidRPr="0044248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, м</w:t>
            </w:r>
            <w:r w:rsidRPr="0044248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01" w:type="dxa"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Марка котла</w:t>
            </w:r>
          </w:p>
        </w:tc>
        <w:tc>
          <w:tcPr>
            <w:tcW w:w="1531" w:type="dxa"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Кількість</w:t>
            </w:r>
            <w:proofErr w:type="spellEnd"/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котлів</w:t>
            </w:r>
            <w:proofErr w:type="spellEnd"/>
            <w:r w:rsidRPr="0044248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,</w:t>
            </w:r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шт</w:t>
            </w:r>
            <w:r w:rsidRPr="0044248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.</w:t>
            </w:r>
          </w:p>
        </w:tc>
        <w:tc>
          <w:tcPr>
            <w:tcW w:w="1488" w:type="dxa"/>
            <w:vAlign w:val="center"/>
          </w:tcPr>
          <w:p w:rsidR="00493DDB" w:rsidRPr="009E0302" w:rsidRDefault="00493DDB" w:rsidP="00F5396A">
            <w:pPr>
              <w:spacing w:line="240" w:lineRule="auto"/>
              <w:ind w:left="-105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Потужність</w:t>
            </w:r>
            <w:proofErr w:type="spellEnd"/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котла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,</w:t>
            </w:r>
            <w:r w:rsidRPr="009E03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 xml:space="preserve"> кВт</w:t>
            </w:r>
          </w:p>
        </w:tc>
      </w:tr>
      <w:tr w:rsidR="005C5976" w:rsidRPr="009E0302" w:rsidTr="00F5396A">
        <w:trPr>
          <w:trHeight w:val="657"/>
        </w:trPr>
        <w:tc>
          <w:tcPr>
            <w:tcW w:w="441" w:type="dxa"/>
            <w:vAlign w:val="center"/>
          </w:tcPr>
          <w:p w:rsidR="005C5976" w:rsidRPr="005C5976" w:rsidRDefault="005C5976" w:rsidP="00F5396A">
            <w:pPr>
              <w:spacing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</w:pPr>
            <w:r w:rsidRPr="005C597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2892" w:type="dxa"/>
            <w:vAlign w:val="center"/>
          </w:tcPr>
          <w:p w:rsidR="005C5976" w:rsidRPr="005C5976" w:rsidRDefault="00116C80" w:rsidP="005C5976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Сарненськ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філія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івненського обласного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зайнятості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(34500,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Демократична, 29)</w:t>
            </w:r>
            <w:proofErr w:type="gramEnd"/>
          </w:p>
        </w:tc>
        <w:tc>
          <w:tcPr>
            <w:tcW w:w="1206" w:type="dxa"/>
            <w:noWrap/>
            <w:vAlign w:val="center"/>
          </w:tcPr>
          <w:p w:rsidR="005C5976" w:rsidRPr="00EC74A9" w:rsidRDefault="00EC74A9" w:rsidP="00F5396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</w:pPr>
            <w:r w:rsidRPr="00EC74A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lastRenderedPageBreak/>
              <w:t>742,3</w:t>
            </w:r>
          </w:p>
        </w:tc>
        <w:tc>
          <w:tcPr>
            <w:tcW w:w="1120" w:type="dxa"/>
            <w:vAlign w:val="center"/>
          </w:tcPr>
          <w:p w:rsidR="005C5976" w:rsidRPr="00EC74A9" w:rsidRDefault="00EC74A9" w:rsidP="00F5396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</w:pPr>
            <w:r w:rsidRPr="00EC74A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>2226,9</w:t>
            </w:r>
          </w:p>
        </w:tc>
        <w:tc>
          <w:tcPr>
            <w:tcW w:w="1501" w:type="dxa"/>
            <w:vAlign w:val="center"/>
          </w:tcPr>
          <w:p w:rsidR="005C5976" w:rsidRPr="00EC74A9" w:rsidRDefault="00EC74A9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</w:pPr>
            <w:r w:rsidRPr="00EC74A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>«Буран-150»</w:t>
            </w:r>
          </w:p>
        </w:tc>
        <w:tc>
          <w:tcPr>
            <w:tcW w:w="1531" w:type="dxa"/>
            <w:vAlign w:val="center"/>
          </w:tcPr>
          <w:p w:rsidR="005C5976" w:rsidRPr="00EC74A9" w:rsidRDefault="00EC74A9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</w:pPr>
            <w:r w:rsidRPr="00EC74A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>1 (основний)</w:t>
            </w:r>
          </w:p>
        </w:tc>
        <w:tc>
          <w:tcPr>
            <w:tcW w:w="1488" w:type="dxa"/>
            <w:vAlign w:val="center"/>
          </w:tcPr>
          <w:p w:rsidR="005C5976" w:rsidRPr="00EC74A9" w:rsidRDefault="00EC74A9" w:rsidP="00F5396A">
            <w:pPr>
              <w:spacing w:line="240" w:lineRule="auto"/>
              <w:ind w:left="-105" w:right="-108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</w:pPr>
            <w:r w:rsidRPr="00EC74A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uk-UA"/>
              </w:rPr>
              <w:t>150</w:t>
            </w:r>
          </w:p>
        </w:tc>
      </w:tr>
      <w:tr w:rsidR="00493DDB" w:rsidRPr="009E0302" w:rsidTr="00F5396A">
        <w:trPr>
          <w:trHeight w:val="690"/>
        </w:trPr>
        <w:tc>
          <w:tcPr>
            <w:tcW w:w="441" w:type="dxa"/>
            <w:vMerge w:val="restart"/>
            <w:noWrap/>
            <w:vAlign w:val="center"/>
          </w:tcPr>
          <w:p w:rsidR="00493DDB" w:rsidRPr="005C5976" w:rsidRDefault="005C5976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892" w:type="dxa"/>
            <w:vMerge w:val="restart"/>
            <w:noWrap/>
            <w:vAlign w:val="center"/>
          </w:tcPr>
          <w:p w:rsidR="00493DDB" w:rsidRPr="009E0302" w:rsidRDefault="00116C80" w:rsidP="00F539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Березнівськ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Рівненської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філії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Рівненського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обласного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зайнятості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 (34600, </w:t>
            </w: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Рівненська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 область, м</w:t>
            </w:r>
            <w:proofErr w:type="gramStart"/>
            <w:r w:rsidRPr="00C946A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ерезне, </w:t>
            </w: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Буховича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>, 6)</w:t>
            </w:r>
          </w:p>
        </w:tc>
        <w:tc>
          <w:tcPr>
            <w:tcW w:w="1206" w:type="dxa"/>
            <w:vMerge w:val="restart"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961,0</w:t>
            </w:r>
          </w:p>
        </w:tc>
        <w:tc>
          <w:tcPr>
            <w:tcW w:w="1120" w:type="dxa"/>
            <w:vMerge w:val="restart"/>
            <w:vAlign w:val="center"/>
          </w:tcPr>
          <w:p w:rsidR="00493DDB" w:rsidRPr="00AD709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2883,0</w:t>
            </w:r>
          </w:p>
        </w:tc>
        <w:tc>
          <w:tcPr>
            <w:tcW w:w="1501" w:type="dxa"/>
            <w:noWrap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«Бепас-100»</w:t>
            </w:r>
          </w:p>
        </w:tc>
        <w:tc>
          <w:tcPr>
            <w:tcW w:w="1531" w:type="dxa"/>
            <w:noWrap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88" w:type="dxa"/>
            <w:noWrap/>
            <w:vAlign w:val="center"/>
          </w:tcPr>
          <w:p w:rsidR="00493DDB" w:rsidRPr="009A713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99</w:t>
            </w:r>
          </w:p>
        </w:tc>
      </w:tr>
      <w:tr w:rsidR="00493DDB" w:rsidRPr="009E0302" w:rsidTr="00F5396A">
        <w:trPr>
          <w:trHeight w:val="690"/>
        </w:trPr>
        <w:tc>
          <w:tcPr>
            <w:tcW w:w="441" w:type="dxa"/>
            <w:vMerge/>
            <w:noWrap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vMerge/>
            <w:noWrap/>
            <w:vAlign w:val="center"/>
          </w:tcPr>
          <w:p w:rsidR="00493DDB" w:rsidRDefault="00493DDB" w:rsidP="00F539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493DDB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493DDB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1" w:type="dxa"/>
            <w:noWrap/>
            <w:vAlign w:val="center"/>
          </w:tcPr>
          <w:p w:rsidR="00493DDB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«Буран-100»</w:t>
            </w:r>
          </w:p>
        </w:tc>
        <w:tc>
          <w:tcPr>
            <w:tcW w:w="1531" w:type="dxa"/>
            <w:noWrap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резервний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88" w:type="dxa"/>
            <w:noWrap/>
            <w:vAlign w:val="center"/>
          </w:tcPr>
          <w:p w:rsidR="00493DDB" w:rsidRPr="009A713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99</w:t>
            </w:r>
          </w:p>
        </w:tc>
      </w:tr>
      <w:tr w:rsidR="00493DDB" w:rsidRPr="009E0302" w:rsidTr="00F5396A">
        <w:trPr>
          <w:trHeight w:val="1380"/>
        </w:trPr>
        <w:tc>
          <w:tcPr>
            <w:tcW w:w="441" w:type="dxa"/>
            <w:noWrap/>
            <w:vAlign w:val="center"/>
          </w:tcPr>
          <w:p w:rsidR="00493DDB" w:rsidRPr="005C5976" w:rsidRDefault="005C5976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2892" w:type="dxa"/>
            <w:noWrap/>
            <w:vAlign w:val="center"/>
          </w:tcPr>
          <w:p w:rsidR="00493DDB" w:rsidRPr="009B1CED" w:rsidRDefault="00116C80" w:rsidP="00F5396A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Володимирецьк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Вараської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філії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Рівненського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обласного</w:t>
            </w:r>
            <w:proofErr w:type="spellEnd"/>
            <w:r w:rsidRPr="00CD2ABF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CD2ABF">
              <w:rPr>
                <w:rFonts w:ascii="Times New Roman" w:hAnsi="Times New Roman"/>
                <w:sz w:val="24"/>
                <w:szCs w:val="24"/>
              </w:rPr>
              <w:t>зайнятості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районна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філія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 (34300, </w:t>
            </w: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Рівненська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gramStart"/>
            <w:r w:rsidRPr="00C946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946A2">
              <w:rPr>
                <w:rFonts w:ascii="Times New Roman" w:hAnsi="Times New Roman"/>
                <w:sz w:val="24"/>
                <w:szCs w:val="24"/>
              </w:rPr>
              <w:t>олодимирець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46A2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946A2">
              <w:rPr>
                <w:rFonts w:ascii="Times New Roman" w:hAnsi="Times New Roman"/>
                <w:sz w:val="24"/>
                <w:szCs w:val="24"/>
              </w:rPr>
              <w:t>Повстанців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>, 45)</w:t>
            </w:r>
            <w:proofErr w:type="gramEnd"/>
          </w:p>
        </w:tc>
        <w:tc>
          <w:tcPr>
            <w:tcW w:w="1206" w:type="dxa"/>
            <w:vAlign w:val="center"/>
          </w:tcPr>
          <w:p w:rsidR="00493DDB" w:rsidRPr="009A713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763,6</w:t>
            </w:r>
          </w:p>
        </w:tc>
        <w:tc>
          <w:tcPr>
            <w:tcW w:w="1120" w:type="dxa"/>
            <w:vAlign w:val="center"/>
          </w:tcPr>
          <w:p w:rsidR="00493DDB" w:rsidRPr="009A713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2290,8</w:t>
            </w:r>
          </w:p>
        </w:tc>
        <w:tc>
          <w:tcPr>
            <w:tcW w:w="1501" w:type="dxa"/>
            <w:noWrap/>
            <w:vAlign w:val="center"/>
          </w:tcPr>
          <w:p w:rsidR="00493DDB" w:rsidRPr="00FD5466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HARDI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100</w:t>
            </w:r>
          </w:p>
        </w:tc>
        <w:tc>
          <w:tcPr>
            <w:tcW w:w="1531" w:type="dxa"/>
            <w:noWrap/>
            <w:vAlign w:val="center"/>
          </w:tcPr>
          <w:p w:rsidR="00493DDB" w:rsidRPr="009B1CED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1C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88" w:type="dxa"/>
            <w:noWrap/>
            <w:vAlign w:val="center"/>
          </w:tcPr>
          <w:p w:rsidR="00493DDB" w:rsidRPr="009B1CED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5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</w:tr>
      <w:tr w:rsidR="00493DDB" w:rsidRPr="009E0302" w:rsidTr="00F5396A">
        <w:trPr>
          <w:trHeight w:val="795"/>
        </w:trPr>
        <w:tc>
          <w:tcPr>
            <w:tcW w:w="441" w:type="dxa"/>
            <w:vMerge w:val="restart"/>
            <w:noWrap/>
            <w:vAlign w:val="center"/>
          </w:tcPr>
          <w:p w:rsidR="00493DDB" w:rsidRPr="005C5976" w:rsidRDefault="005C5976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2892" w:type="dxa"/>
            <w:vMerge w:val="restart"/>
            <w:noWrap/>
            <w:vAlign w:val="center"/>
          </w:tcPr>
          <w:p w:rsidR="00493DDB" w:rsidRPr="009E0302" w:rsidRDefault="00116C80" w:rsidP="00F5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Дубровицьк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</w:t>
            </w: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Сарненської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філії Рівненського обласного центру зайнятості (34100, Рівненська область, м. </w:t>
            </w: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Дубровиця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вул.Гольшанських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, 23а)</w:t>
            </w:r>
          </w:p>
        </w:tc>
        <w:tc>
          <w:tcPr>
            <w:tcW w:w="1206" w:type="dxa"/>
            <w:vMerge w:val="restart"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500,8</w:t>
            </w:r>
          </w:p>
        </w:tc>
        <w:tc>
          <w:tcPr>
            <w:tcW w:w="1120" w:type="dxa"/>
            <w:vMerge w:val="restart"/>
            <w:vAlign w:val="center"/>
          </w:tcPr>
          <w:p w:rsidR="00493DDB" w:rsidRPr="00AD709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1502,4</w:t>
            </w:r>
          </w:p>
        </w:tc>
        <w:tc>
          <w:tcPr>
            <w:tcW w:w="1501" w:type="dxa"/>
            <w:noWrap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HARDI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-50</w:t>
            </w:r>
          </w:p>
        </w:tc>
        <w:tc>
          <w:tcPr>
            <w:tcW w:w="1531" w:type="dxa"/>
            <w:noWrap/>
            <w:vAlign w:val="center"/>
          </w:tcPr>
          <w:p w:rsidR="00493DDB" w:rsidRPr="007F67F6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88" w:type="dxa"/>
            <w:noWrap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493DDB" w:rsidRPr="009E0302" w:rsidTr="00F5396A">
        <w:trPr>
          <w:trHeight w:val="795"/>
        </w:trPr>
        <w:tc>
          <w:tcPr>
            <w:tcW w:w="441" w:type="dxa"/>
            <w:vMerge/>
            <w:noWrap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vMerge/>
            <w:noWrap/>
            <w:vAlign w:val="center"/>
          </w:tcPr>
          <w:p w:rsidR="00493DDB" w:rsidRDefault="00493DDB" w:rsidP="00F5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493DDB" w:rsidRPr="00AD709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1" w:type="dxa"/>
            <w:noWrap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КЧМ- 4М</w:t>
            </w:r>
          </w:p>
        </w:tc>
        <w:tc>
          <w:tcPr>
            <w:tcW w:w="1531" w:type="dxa"/>
            <w:noWrap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резервний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88" w:type="dxa"/>
            <w:noWrap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19,8</w:t>
            </w:r>
          </w:p>
        </w:tc>
      </w:tr>
      <w:tr w:rsidR="00493DDB" w:rsidRPr="007276DD" w:rsidTr="00F5396A">
        <w:trPr>
          <w:trHeight w:val="660"/>
        </w:trPr>
        <w:tc>
          <w:tcPr>
            <w:tcW w:w="441" w:type="dxa"/>
            <w:vMerge w:val="restart"/>
            <w:noWrap/>
            <w:vAlign w:val="center"/>
          </w:tcPr>
          <w:p w:rsidR="00493DDB" w:rsidRPr="005C5976" w:rsidRDefault="005C5976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2892" w:type="dxa"/>
            <w:vMerge w:val="restart"/>
            <w:noWrap/>
            <w:vAlign w:val="center"/>
          </w:tcPr>
          <w:p w:rsidR="00493DDB" w:rsidRPr="009E0302" w:rsidRDefault="00116C80" w:rsidP="00F5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Зарічненськ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</w:t>
            </w: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філії Рівненського обласного центру зайнятості (34000, Рівненська область, </w:t>
            </w: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смт.Зарічне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proofErr w:type="gramStart"/>
            <w:r w:rsidRPr="00C946A2">
              <w:rPr>
                <w:rFonts w:ascii="Times New Roman" w:hAnsi="Times New Roman"/>
                <w:sz w:val="24"/>
                <w:szCs w:val="24"/>
              </w:rPr>
              <w:t>Грушевського</w:t>
            </w:r>
            <w:proofErr w:type="spellEnd"/>
            <w:r w:rsidRPr="00C946A2">
              <w:rPr>
                <w:rFonts w:ascii="Times New Roman" w:hAnsi="Times New Roman"/>
                <w:sz w:val="24"/>
                <w:szCs w:val="24"/>
              </w:rPr>
              <w:t>, 1а)</w:t>
            </w:r>
            <w:proofErr w:type="gramEnd"/>
          </w:p>
        </w:tc>
        <w:tc>
          <w:tcPr>
            <w:tcW w:w="1206" w:type="dxa"/>
            <w:vMerge w:val="restart"/>
            <w:vAlign w:val="center"/>
          </w:tcPr>
          <w:p w:rsidR="00493DDB" w:rsidRPr="007276DD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439,8</w:t>
            </w:r>
          </w:p>
        </w:tc>
        <w:tc>
          <w:tcPr>
            <w:tcW w:w="1120" w:type="dxa"/>
            <w:vMerge w:val="restart"/>
            <w:vAlign w:val="center"/>
          </w:tcPr>
          <w:p w:rsidR="00493DDB" w:rsidRPr="007276DD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1319,4</w:t>
            </w:r>
          </w:p>
        </w:tc>
        <w:tc>
          <w:tcPr>
            <w:tcW w:w="1501" w:type="dxa"/>
            <w:vAlign w:val="center"/>
          </w:tcPr>
          <w:p w:rsidR="00493DDB" w:rsidRPr="007F67F6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KSW SO-50</w:t>
            </w:r>
          </w:p>
        </w:tc>
        <w:tc>
          <w:tcPr>
            <w:tcW w:w="1531" w:type="dxa"/>
            <w:noWrap/>
            <w:vAlign w:val="center"/>
          </w:tcPr>
          <w:p w:rsidR="00493DDB" w:rsidRPr="007F67F6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основ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488" w:type="dxa"/>
            <w:noWrap/>
            <w:vAlign w:val="center"/>
          </w:tcPr>
          <w:p w:rsidR="00493DDB" w:rsidRPr="007276DD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493DDB" w:rsidRPr="007276DD" w:rsidTr="00F5396A">
        <w:trPr>
          <w:trHeight w:val="660"/>
        </w:trPr>
        <w:tc>
          <w:tcPr>
            <w:tcW w:w="441" w:type="dxa"/>
            <w:vMerge/>
            <w:noWrap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vMerge/>
            <w:noWrap/>
            <w:vAlign w:val="center"/>
          </w:tcPr>
          <w:p w:rsidR="00493DDB" w:rsidRDefault="00493DDB" w:rsidP="00F5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493DDB" w:rsidRPr="007276DD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493DDB" w:rsidRPr="007276DD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493DDB" w:rsidRPr="007276DD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КЧМ- 4М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531" w:type="dxa"/>
            <w:noWrap/>
            <w:vAlign w:val="center"/>
          </w:tcPr>
          <w:p w:rsidR="00493DDB" w:rsidRPr="007276DD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резервний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88" w:type="dxa"/>
            <w:noWrap/>
            <w:vAlign w:val="center"/>
          </w:tcPr>
          <w:p w:rsidR="00493DDB" w:rsidRPr="007276DD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19,8</w:t>
            </w:r>
          </w:p>
        </w:tc>
      </w:tr>
      <w:tr w:rsidR="00493DDB" w:rsidRPr="009E0302" w:rsidTr="00F5396A">
        <w:trPr>
          <w:trHeight w:val="1322"/>
        </w:trPr>
        <w:tc>
          <w:tcPr>
            <w:tcW w:w="441" w:type="dxa"/>
            <w:noWrap/>
            <w:vAlign w:val="center"/>
          </w:tcPr>
          <w:p w:rsidR="00493DDB" w:rsidRPr="005C5976" w:rsidRDefault="005C5976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2892" w:type="dxa"/>
            <w:noWrap/>
            <w:vAlign w:val="center"/>
          </w:tcPr>
          <w:p w:rsidR="00116C80" w:rsidRDefault="00116C80" w:rsidP="00116C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Корецьк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 Рівненської філії Рівненського обласного центру зайнятості (34700, Рівненська область, </w:t>
            </w:r>
            <w:proofErr w:type="spellStart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м.Корець</w:t>
            </w:r>
            <w:proofErr w:type="spellEnd"/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r w:rsidR="00CE2478">
              <w:rPr>
                <w:rFonts w:ascii="Times New Roman" w:hAnsi="Times New Roman"/>
                <w:sz w:val="24"/>
                <w:szCs w:val="24"/>
                <w:lang w:val="uk-UA"/>
              </w:rPr>
              <w:t>Правосуддя</w:t>
            </w:r>
            <w:r w:rsidRPr="00116C80">
              <w:rPr>
                <w:rFonts w:ascii="Times New Roman" w:hAnsi="Times New Roman"/>
                <w:sz w:val="24"/>
                <w:szCs w:val="24"/>
                <w:lang w:val="uk-UA"/>
              </w:rPr>
              <w:t>, 1б)</w:t>
            </w:r>
          </w:p>
          <w:p w:rsidR="00493DDB" w:rsidRPr="00CE2478" w:rsidRDefault="00493DDB" w:rsidP="00F539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472,8</w:t>
            </w:r>
          </w:p>
        </w:tc>
        <w:tc>
          <w:tcPr>
            <w:tcW w:w="1120" w:type="dxa"/>
            <w:vAlign w:val="center"/>
          </w:tcPr>
          <w:p w:rsidR="00493DDB" w:rsidRPr="00AD709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1418,4</w:t>
            </w:r>
          </w:p>
        </w:tc>
        <w:tc>
          <w:tcPr>
            <w:tcW w:w="1501" w:type="dxa"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HARDI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-80</w:t>
            </w:r>
          </w:p>
        </w:tc>
        <w:tc>
          <w:tcPr>
            <w:tcW w:w="1531" w:type="dxa"/>
            <w:noWrap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88" w:type="dxa"/>
            <w:noWrap/>
            <w:vAlign w:val="center"/>
          </w:tcPr>
          <w:p w:rsidR="00493DDB" w:rsidRPr="009E0302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</w:tr>
    </w:tbl>
    <w:p w:rsidR="00493DDB" w:rsidRPr="00CC7305" w:rsidRDefault="00493DDB" w:rsidP="00493DDB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493DDB" w:rsidRPr="001050A2" w:rsidRDefault="00493DDB" w:rsidP="00105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0A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2.</w:t>
      </w:r>
      <w:proofErr w:type="spellStart"/>
      <w:r w:rsidRPr="001050A2">
        <w:rPr>
          <w:rFonts w:ascii="Times New Roman" w:hAnsi="Times New Roman" w:cs="Times New Roman"/>
          <w:b/>
          <w:bCs/>
          <w:iCs/>
          <w:sz w:val="24"/>
          <w:szCs w:val="24"/>
        </w:rPr>
        <w:t>Період</w:t>
      </w:r>
      <w:proofErr w:type="spellEnd"/>
      <w:r w:rsidRPr="001050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050A2">
        <w:rPr>
          <w:rFonts w:ascii="Times New Roman" w:hAnsi="Times New Roman" w:cs="Times New Roman"/>
          <w:b/>
          <w:bCs/>
          <w:iCs/>
          <w:sz w:val="24"/>
          <w:szCs w:val="24"/>
        </w:rPr>
        <w:t>надання</w:t>
      </w:r>
      <w:proofErr w:type="spellEnd"/>
      <w:r w:rsidRPr="001050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050A2">
        <w:rPr>
          <w:rFonts w:ascii="Times New Roman" w:hAnsi="Times New Roman" w:cs="Times New Roman"/>
          <w:b/>
          <w:bCs/>
          <w:iCs/>
          <w:sz w:val="24"/>
          <w:szCs w:val="24"/>
        </w:rPr>
        <w:t>послуг</w:t>
      </w:r>
      <w:proofErr w:type="spellEnd"/>
      <w:r w:rsidRPr="001050A2">
        <w:rPr>
          <w:rFonts w:ascii="Times New Roman" w:hAnsi="Times New Roman" w:cs="Times New Roman"/>
          <w:sz w:val="24"/>
          <w:szCs w:val="24"/>
        </w:rPr>
        <w:t xml:space="preserve">: </w:t>
      </w:r>
      <w:r w:rsidR="001050A2" w:rsidRPr="001050A2">
        <w:rPr>
          <w:rFonts w:ascii="Times New Roman" w:hAnsi="Times New Roman"/>
          <w:b/>
          <w:bCs/>
          <w:sz w:val="24"/>
          <w:szCs w:val="24"/>
          <w:lang w:val="uk-UA"/>
        </w:rPr>
        <w:t>з 15.10.2023 до 31.12.2023 року.</w:t>
      </w:r>
    </w:p>
    <w:p w:rsidR="00493DDB" w:rsidRPr="00116C80" w:rsidRDefault="00493DDB" w:rsidP="00116C8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116C8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3. </w:t>
      </w:r>
      <w:r w:rsidRPr="001050A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Перелік послуг спрямованих на забезпечення додержання температурного режиму в приміщеннях </w:t>
      </w:r>
      <w:r w:rsidR="001050A2" w:rsidRPr="001050A2">
        <w:rPr>
          <w:rFonts w:ascii="Times New Roman" w:hAnsi="Times New Roman"/>
          <w:b/>
          <w:sz w:val="24"/>
          <w:szCs w:val="24"/>
          <w:lang w:val="uk-UA"/>
        </w:rPr>
        <w:t xml:space="preserve">структурних підрозділів </w:t>
      </w:r>
      <w:r w:rsidR="00116C80" w:rsidRPr="001050A2">
        <w:rPr>
          <w:rFonts w:ascii="Times New Roman" w:hAnsi="Times New Roman"/>
          <w:b/>
          <w:sz w:val="24"/>
          <w:szCs w:val="24"/>
          <w:lang w:val="uk-UA"/>
        </w:rPr>
        <w:t>Рівненського обласного центру зайнятості</w:t>
      </w:r>
      <w:r w:rsidRPr="001050A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:</w:t>
      </w:r>
    </w:p>
    <w:p w:rsidR="00493DDB" w:rsidRPr="00A57DD4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6"/>
          <w:szCs w:val="6"/>
          <w:lang w:val="uk-UA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8823"/>
      </w:tblGrid>
      <w:tr w:rsidR="00493DDB" w:rsidRPr="00A066EE" w:rsidTr="00F5396A">
        <w:trPr>
          <w:trHeight w:val="480"/>
        </w:trPr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з</w:t>
            </w:r>
            <w:proofErr w:type="spellEnd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/</w:t>
            </w:r>
            <w:proofErr w:type="spellStart"/>
            <w:proofErr w:type="gramStart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823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Характеристика  </w:t>
            </w:r>
            <w:proofErr w:type="spellStart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послуг</w:t>
            </w:r>
            <w:proofErr w:type="spellEnd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що</w:t>
            </w:r>
            <w:proofErr w:type="spellEnd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надає</w:t>
            </w:r>
            <w:proofErr w:type="spellEnd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машині</w:t>
            </w:r>
            <w:proofErr w:type="gramStart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ст</w:t>
            </w:r>
            <w:proofErr w:type="spellEnd"/>
            <w:proofErr w:type="gramEnd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(кочегар) </w:t>
            </w:r>
            <w:proofErr w:type="spellStart"/>
            <w:r w:rsidRPr="00A066E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котельні</w:t>
            </w:r>
            <w:proofErr w:type="spellEnd"/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23" w:type="dxa"/>
            <w:vAlign w:val="center"/>
          </w:tcPr>
          <w:p w:rsidR="00493DDB" w:rsidRPr="00A066EE" w:rsidRDefault="00493DDB" w:rsidP="005931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температурного режиму в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приміщенні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структурних </w:t>
            </w:r>
            <w:proofErr w:type="gramStart"/>
            <w:r w:rsidR="0059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="00593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ідрозділів Рівненського обласного </w:t>
            </w:r>
            <w:r w:rsidR="00027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центру зайнятості</w:t>
            </w:r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опалювальний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DDB" w:rsidRPr="00A066EE" w:rsidTr="00F5396A">
        <w:trPr>
          <w:trHeight w:val="106"/>
        </w:trPr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23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Забезпечення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безпечного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економ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ного </w:t>
            </w: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режиму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роботи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котлів</w:t>
            </w:r>
            <w:proofErr w:type="spellEnd"/>
            <w:r w:rsidRPr="00D412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4120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(цілодобово).</w:t>
            </w:r>
            <w:r w:rsidRPr="00A066EE">
              <w:rPr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Виконавець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зобов’язаний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дбайливо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ставитися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переданих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йому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послуг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матеріальних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цінностей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Замовника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вживати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заходів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відвернення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шкоди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своєчасно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повідомляти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Замовника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</w:t>
            </w:r>
            <w:proofErr w:type="gram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обставини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загрожують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забезпеченню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збереження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довірених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йому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матеріальних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цінностей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8823" w:type="dxa"/>
            <w:vAlign w:val="center"/>
          </w:tcPr>
          <w:p w:rsidR="00493DDB" w:rsidRPr="00832A4D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ідготовчих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робіт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експлуатації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(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перенесення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занесення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вугілля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дров; </w:t>
            </w:r>
            <w:r w:rsidRPr="00283F3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роботи з різання, порубки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подрібнення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палива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(при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залученням інструментів для різання та рубання - Виконавця послуг</w:t>
            </w: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перевірка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заповнення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розширювального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бачка та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опалювання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водою;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доливання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води в систему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опалення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(при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);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перевірка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справності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контрольно-вимірювальних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приладів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Pr="00A066EE">
              <w:rPr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справності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топки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димоходу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запірних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регулюючих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приладів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чищення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топки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димоходів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ід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золи;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чищення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колосникової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решітки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перевірка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тяги;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перевірка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відсутності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топці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димоходах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сторонніх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 винесення золи з котельні до місця утилізації.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23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належної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опалювальний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розпалювання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тиском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температурою,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підтримання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тиску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котлі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видалення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шлаку,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підрізка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шлаку,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та шуровка топки котла,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зупинка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розпалення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котлі</w:t>
            </w:r>
            <w:proofErr w:type="gram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сухими</w:t>
            </w:r>
            <w:proofErr w:type="gram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дровами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до правил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опалюваного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котла.</w:t>
            </w:r>
          </w:p>
        </w:tc>
      </w:tr>
      <w:tr w:rsidR="00493DDB" w:rsidRPr="00A066EE" w:rsidTr="00F5396A">
        <w:trPr>
          <w:trHeight w:val="342"/>
        </w:trPr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23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раціонального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823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розпалюванням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котла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необхі</w:t>
            </w:r>
            <w:proofErr w:type="gram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  <w:proofErr w:type="spellEnd"/>
            <w:proofErr w:type="gram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перевірити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котла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допоміжного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ретельного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розпалюванням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котла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прочистити</w:t>
            </w:r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топку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газоходи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10-15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залежно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конструкції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котла)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відкриванням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дверець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топки, </w:t>
            </w:r>
            <w:proofErr w:type="spellStart"/>
            <w:proofErr w:type="gram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іддувала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шиберів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подачі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заслінок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природної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тяги, а при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димососів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вентиляторів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вмиканням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Протягом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робочої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D4120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(цілодобово)</w:t>
            </w: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контролювати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технічний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регулювати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горіння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спостерігати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тиском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несправностей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ході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ібних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несправностей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виникли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зміні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DDB" w:rsidRPr="00A066EE" w:rsidTr="00F5396A">
        <w:trPr>
          <w:trHeight w:val="448"/>
        </w:trPr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823" w:type="dxa"/>
            <w:vAlign w:val="center"/>
          </w:tcPr>
          <w:p w:rsidR="00493DDB" w:rsidRPr="00A066EE" w:rsidRDefault="00493DDB" w:rsidP="00F5396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Ретельно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перевіряти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відсутність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сторонніх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топці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котла та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димоході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93DDB" w:rsidRPr="00A066EE" w:rsidTr="00F5396A">
        <w:trPr>
          <w:trHeight w:val="425"/>
        </w:trPr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823" w:type="dxa"/>
            <w:vAlign w:val="center"/>
          </w:tcPr>
          <w:p w:rsidR="00493DDB" w:rsidRPr="00A066EE" w:rsidRDefault="00493DDB" w:rsidP="00F5396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Ретельно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</w:t>
            </w:r>
            <w:proofErr w:type="gram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іряти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наявність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тяги.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Застосування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ід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розпалювання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котла,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працює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твердому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паливі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легкозаймистих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матеріалів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(бензин, гас та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.) </w:t>
            </w:r>
            <w:r w:rsidRPr="00A066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 </w:t>
            </w:r>
            <w:proofErr w:type="spellStart"/>
            <w:r w:rsidRPr="00A066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допускається</w:t>
            </w:r>
            <w:proofErr w:type="spellEnd"/>
            <w:r w:rsidRPr="00A066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!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6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пожежної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безпеки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правил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виробничої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санітарії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вимог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законодавства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України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щодо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охорони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праці</w:t>
            </w:r>
            <w:proofErr w:type="spellEnd"/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виникненні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аварійних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заходи,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ідтримувати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чистоті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робоче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машиніста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(кочегара)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Забороняється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захаращувати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зберігати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ньому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речі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. Проходи у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приміщенні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виходи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завжди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вільними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Двері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виходу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 xml:space="preserve"> легко </w:t>
            </w:r>
            <w:proofErr w:type="spellStart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відчинятись</w:t>
            </w:r>
            <w:proofErr w:type="spellEnd"/>
            <w:r w:rsidRPr="00A0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допускаються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особи не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молодше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рокі</w:t>
            </w:r>
            <w:proofErr w:type="gram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які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пройшли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атестовані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мають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 право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tabs>
                <w:tab w:val="left" w:pos="786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Машиністам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(кочегарам)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робота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яких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пов‘язана</w:t>
            </w:r>
            <w:proofErr w:type="spellEnd"/>
            <w:proofErr w:type="gram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обслуговуванням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котельних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установок, установлено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особливі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умови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числі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безпечного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робіт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аварійності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виробничому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травматизму. Вони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знати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й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дотримуватися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актів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праці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3E641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техніки безпеки, протипожежної безпеки,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виробничих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експлуатаційних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інструкцій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тощо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мати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що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завершену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успішну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спеціальну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gram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ідготовку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цих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робіт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своєчасну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знань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праці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tabs>
                <w:tab w:val="left" w:pos="786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gram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ід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чергування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машиністам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(кочегарам)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забороняється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спати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палити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вживати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спиртні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напої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інші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речовини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що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справляють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наркотичну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дію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організм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людини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Забороняється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залишати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котли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повного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горіння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топці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видалення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неї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залишків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палива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тиску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до нуля.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tabs>
                <w:tab w:val="left" w:pos="786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Збитки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завдані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невиконанням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або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неналежним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виконанням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машиністами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(кочегарами)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gram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ідлягають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відшкодуванню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Виконавцем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разі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його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вини, у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493DDB" w:rsidRPr="00A066EE" w:rsidTr="00F5396A">
        <w:tc>
          <w:tcPr>
            <w:tcW w:w="675" w:type="dxa"/>
            <w:vAlign w:val="center"/>
          </w:tcPr>
          <w:p w:rsidR="00493DDB" w:rsidRPr="00A066EE" w:rsidRDefault="00493DDB" w:rsidP="00F5396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8823" w:type="dxa"/>
          </w:tcPr>
          <w:p w:rsidR="00493DDB" w:rsidRPr="00A066EE" w:rsidRDefault="00493DDB" w:rsidP="00F5396A">
            <w:pPr>
              <w:tabs>
                <w:tab w:val="left" w:pos="7860"/>
              </w:tabs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proofErr w:type="gram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кінці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опалювального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сезону провести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консервацію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зупиненого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котла. Порядок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консервації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зупинених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котлів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має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заводу-виготовлювача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 монтажу та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котлі</w:t>
            </w:r>
            <w:proofErr w:type="gramStart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066E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</w:tbl>
    <w:p w:rsidR="00493DDB" w:rsidRPr="00A066EE" w:rsidRDefault="00493DDB" w:rsidP="00493DDB">
      <w:pPr>
        <w:widowControl w:val="0"/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napToGrid w:val="0"/>
          <w:color w:val="auto"/>
          <w:sz w:val="24"/>
          <w:szCs w:val="24"/>
        </w:rPr>
      </w:pPr>
    </w:p>
    <w:p w:rsidR="00493DDB" w:rsidRPr="00A066EE" w:rsidRDefault="00493DDB" w:rsidP="00493DDB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066EE">
        <w:rPr>
          <w:rFonts w:ascii="Times New Roman" w:hAnsi="Times New Roman" w:cs="Times New Roman"/>
          <w:b/>
          <w:bCs/>
          <w:i/>
          <w:iCs/>
          <w:snapToGrid w:val="0"/>
          <w:color w:val="auto"/>
          <w:sz w:val="24"/>
          <w:szCs w:val="24"/>
        </w:rPr>
        <w:t xml:space="preserve">4. </w:t>
      </w:r>
      <w:proofErr w:type="spellStart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Вимоги</w:t>
      </w:r>
      <w:proofErr w:type="spellEnd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щодо</w:t>
      </w:r>
      <w:proofErr w:type="spellEnd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якості</w:t>
      </w:r>
      <w:proofErr w:type="spellEnd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. </w:t>
      </w:r>
    </w:p>
    <w:p w:rsidR="00493DDB" w:rsidRPr="00A066EE" w:rsidRDefault="00493DDB" w:rsidP="00493DDB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Виконавець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), в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опалювальний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період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повинен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забезпечити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відповідну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якість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наданих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C25DB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6C25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0CF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(цілодобово)</w:t>
      </w:r>
      <w:r w:rsidRPr="006C25D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proofErr w:type="spellStart"/>
      <w:r w:rsidRPr="006C25DB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опалення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приміщень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31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структурних </w:t>
      </w:r>
      <w:proofErr w:type="gramStart"/>
      <w:r w:rsidR="005931D8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proofErr w:type="gramEnd"/>
      <w:r w:rsidR="005931D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ідрозділів Рівненського </w:t>
      </w:r>
      <w:proofErr w:type="spellStart"/>
      <w:r w:rsidR="005931D8">
        <w:rPr>
          <w:rFonts w:ascii="Times New Roman" w:hAnsi="Times New Roman" w:cs="Times New Roman"/>
          <w:color w:val="auto"/>
          <w:sz w:val="24"/>
          <w:szCs w:val="24"/>
          <w:lang w:val="uk-UA"/>
        </w:rPr>
        <w:t>ОЦЗ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твердопаливними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котлами,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що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встановлені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котельнях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адміністративних приміщень</w:t>
      </w:r>
      <w:r w:rsidRPr="00A066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3DDB" w:rsidRPr="00A066EE" w:rsidRDefault="00493DDB" w:rsidP="00493DDB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Виконавець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) повинен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забезпечити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св</w:t>
      </w:r>
      <w:proofErr w:type="gramEnd"/>
      <w:r w:rsidRPr="00A066EE">
        <w:rPr>
          <w:rFonts w:ascii="Times New Roman" w:hAnsi="Times New Roman" w:cs="Times New Roman"/>
          <w:color w:val="auto"/>
          <w:sz w:val="24"/>
          <w:szCs w:val="24"/>
        </w:rPr>
        <w:t>ій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персонал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спецодягом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згідно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чинних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виробничо-санітарних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норм.</w:t>
      </w:r>
      <w:r w:rsidRPr="00A066EE">
        <w:rPr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Виконавець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proofErr w:type="gram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A066EE">
        <w:rPr>
          <w:rFonts w:ascii="Times New Roman" w:hAnsi="Times New Roman" w:cs="Times New Roman"/>
          <w:color w:val="auto"/>
          <w:sz w:val="24"/>
          <w:szCs w:val="24"/>
        </w:rPr>
        <w:t>ід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час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надання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використовує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власні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інвентар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спецодяг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Закупівля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інвентарю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спецодягу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здійснюється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кошти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Виконавця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493DDB" w:rsidRPr="00290E82" w:rsidRDefault="00493DDB" w:rsidP="00493DD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</w:pP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5. </w:t>
      </w:r>
      <w:proofErr w:type="spellStart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Розрахунки</w:t>
      </w:r>
      <w:proofErr w:type="spellEnd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за </w:t>
      </w:r>
      <w:proofErr w:type="spellStart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надані</w:t>
      </w:r>
      <w:proofErr w:type="spellEnd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послуги</w:t>
      </w:r>
      <w:proofErr w:type="spellEnd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.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Оплата за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надані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проводиться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щомісячно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proofErr w:type="gram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A066EE">
        <w:rPr>
          <w:rFonts w:ascii="Times New Roman" w:hAnsi="Times New Roman" w:cs="Times New Roman"/>
          <w:color w:val="auto"/>
          <w:sz w:val="24"/>
          <w:szCs w:val="24"/>
        </w:rPr>
        <w:t>ісля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підписаного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акту</w:t>
      </w:r>
      <w:r w:rsidR="001050A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прийому </w:t>
      </w:r>
      <w:proofErr w:type="spellStart"/>
      <w:r w:rsidR="001050A2">
        <w:rPr>
          <w:rFonts w:ascii="Times New Roman" w:hAnsi="Times New Roman" w:cs="Times New Roman"/>
          <w:color w:val="auto"/>
          <w:sz w:val="24"/>
          <w:szCs w:val="24"/>
          <w:lang w:val="uk-UA"/>
        </w:rPr>
        <w:t>-передачі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наданих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066E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Авансові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платежі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передбачені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Оплата за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проводиться в межах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кошторису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видатків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Замовника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Замовник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може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змінювати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обсяг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надання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їх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загальну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вартість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залежно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від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потреб та </w:t>
      </w:r>
      <w:proofErr w:type="gram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реального</w:t>
      </w:r>
      <w:proofErr w:type="gram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фінансування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його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видатків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Замовник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звільняється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від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сплати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штрафних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санкцій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несвоєчасне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проведення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розрахунків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зв’язку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затримкою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проведення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платежів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органами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держказначейства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або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зв’язку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відсутністю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кошті</w:t>
      </w:r>
      <w:proofErr w:type="gram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spellEnd"/>
      <w:proofErr w:type="gram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на 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рахунках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Замовника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3DDB" w:rsidRPr="00A066EE" w:rsidRDefault="00493DDB" w:rsidP="00493DD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6.</w:t>
      </w:r>
      <w:r w:rsidRPr="00A066E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Відповідальність</w:t>
      </w:r>
      <w:proofErr w:type="spellEnd"/>
      <w:r w:rsidRPr="00A066E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. 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разі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виникнення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збитків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внаслідок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неякісного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надання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що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призвело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виникнення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аварійних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ситуацій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об’єкті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або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пошкодження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майна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Замовника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Виконавець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) на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вимогу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Замовника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відшкодовує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збитки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повному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обсязі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Виконавець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також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несе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відповідальність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неякісне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несвоєчасне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надання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93DDB" w:rsidRPr="00A066EE" w:rsidRDefault="00493DDB" w:rsidP="00493DD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Учасник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Виконавець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несе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відповідальність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дотримання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чинного</w:t>
      </w:r>
      <w:proofErr w:type="gram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законодавства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працю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охорону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праці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пожежну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безпеку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санітарно-гігієнічних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норм при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наданні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066EE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A066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3DDB" w:rsidRPr="00A066EE" w:rsidRDefault="00493DDB" w:rsidP="00493DDB">
      <w:pPr>
        <w:tabs>
          <w:tab w:val="left" w:pos="540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93DDB" w:rsidRPr="00A066EE" w:rsidRDefault="00493DDB" w:rsidP="00493DDB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napToGrid w:val="0"/>
          <w:color w:val="auto"/>
          <w:sz w:val="20"/>
          <w:szCs w:val="20"/>
        </w:rPr>
      </w:pPr>
      <w:proofErr w:type="spellStart"/>
      <w:r w:rsidRPr="00A066EE">
        <w:rPr>
          <w:rFonts w:ascii="Times New Roman" w:hAnsi="Times New Roman" w:cs="Times New Roman"/>
          <w:b/>
          <w:bCs/>
          <w:i/>
          <w:iCs/>
          <w:snapToGrid w:val="0"/>
          <w:color w:val="auto"/>
          <w:sz w:val="20"/>
          <w:szCs w:val="20"/>
        </w:rPr>
        <w:t>Примітки</w:t>
      </w:r>
      <w:proofErr w:type="spellEnd"/>
      <w:r w:rsidRPr="00A066EE">
        <w:rPr>
          <w:rFonts w:ascii="Times New Roman" w:hAnsi="Times New Roman" w:cs="Times New Roman"/>
          <w:b/>
          <w:bCs/>
          <w:i/>
          <w:iCs/>
          <w:snapToGrid w:val="0"/>
          <w:color w:val="auto"/>
          <w:sz w:val="20"/>
          <w:szCs w:val="20"/>
        </w:rPr>
        <w:t>:</w:t>
      </w:r>
    </w:p>
    <w:p w:rsidR="008E7FB9" w:rsidRPr="008E7FB9" w:rsidRDefault="00493DDB" w:rsidP="00116C80">
      <w:pPr>
        <w:widowControl w:val="0"/>
        <w:tabs>
          <w:tab w:val="left" w:pos="540"/>
        </w:tabs>
        <w:spacing w:line="240" w:lineRule="auto"/>
        <w:ind w:firstLine="567"/>
        <w:jc w:val="both"/>
        <w:rPr>
          <w:rFonts w:eastAsia="Calibri"/>
        </w:rPr>
      </w:pPr>
      <w:proofErr w:type="spellStart"/>
      <w:proofErr w:type="gram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Вс</w:t>
      </w:r>
      <w:proofErr w:type="gram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і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витрати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в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процесі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надання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послуг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несе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Учасник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(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Виконавець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). При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обчисленні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оплати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праці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r w:rsidR="00430F3B"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персоналу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Учасник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(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Виконавець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) </w:t>
      </w:r>
      <w:proofErr w:type="gram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повинен</w:t>
      </w:r>
      <w:proofErr w:type="gram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дотримуватися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чинного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законодавства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України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щодо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оплати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праці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:</w:t>
      </w:r>
      <w:r w:rsidRPr="00A066EE">
        <w:rPr>
          <w:color w:val="auto"/>
          <w:sz w:val="20"/>
          <w:szCs w:val="20"/>
        </w:rPr>
        <w:t xml:space="preserve"> </w:t>
      </w:r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Закону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України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«Про оплату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праці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»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від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24.03.1995 № 108/95-ВР (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зі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 </w:t>
      </w:r>
      <w:proofErr w:type="spellStart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>змінами</w:t>
      </w:r>
      <w:proofErr w:type="spellEnd"/>
      <w:r w:rsidRPr="00A066EE">
        <w:rPr>
          <w:rFonts w:ascii="Times New Roman" w:hAnsi="Times New Roman" w:cs="Times New Roman"/>
          <w:i/>
          <w:iCs/>
          <w:snapToGrid w:val="0"/>
          <w:color w:val="auto"/>
          <w:sz w:val="20"/>
          <w:szCs w:val="20"/>
        </w:rPr>
        <w:t xml:space="preserve">). </w:t>
      </w:r>
    </w:p>
    <w:sectPr w:rsidR="008E7FB9" w:rsidRPr="008E7FB9" w:rsidSect="00314D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D44"/>
    <w:multiLevelType w:val="hybridMultilevel"/>
    <w:tmpl w:val="FA147880"/>
    <w:lvl w:ilvl="0" w:tplc="E154D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51E"/>
    <w:rsid w:val="00027AA9"/>
    <w:rsid w:val="000B58F6"/>
    <w:rsid w:val="001050A2"/>
    <w:rsid w:val="00116C80"/>
    <w:rsid w:val="00223D26"/>
    <w:rsid w:val="00314DA0"/>
    <w:rsid w:val="00331945"/>
    <w:rsid w:val="003A2663"/>
    <w:rsid w:val="003F1E2E"/>
    <w:rsid w:val="00430F3B"/>
    <w:rsid w:val="00471FD7"/>
    <w:rsid w:val="00493DDB"/>
    <w:rsid w:val="005931D8"/>
    <w:rsid w:val="005C5976"/>
    <w:rsid w:val="00706585"/>
    <w:rsid w:val="00731CC5"/>
    <w:rsid w:val="00732CA3"/>
    <w:rsid w:val="00813A10"/>
    <w:rsid w:val="00823106"/>
    <w:rsid w:val="0087612C"/>
    <w:rsid w:val="00891042"/>
    <w:rsid w:val="008B7B49"/>
    <w:rsid w:val="008C1957"/>
    <w:rsid w:val="008C435E"/>
    <w:rsid w:val="008E7FB9"/>
    <w:rsid w:val="008F46F8"/>
    <w:rsid w:val="00924722"/>
    <w:rsid w:val="009F7EF0"/>
    <w:rsid w:val="00A54417"/>
    <w:rsid w:val="00B16678"/>
    <w:rsid w:val="00C37CBC"/>
    <w:rsid w:val="00C8138B"/>
    <w:rsid w:val="00CC62FF"/>
    <w:rsid w:val="00CE2478"/>
    <w:rsid w:val="00D40732"/>
    <w:rsid w:val="00D94567"/>
    <w:rsid w:val="00E30F99"/>
    <w:rsid w:val="00E75CA0"/>
    <w:rsid w:val="00E9551E"/>
    <w:rsid w:val="00EB6E08"/>
    <w:rsid w:val="00EC74A9"/>
    <w:rsid w:val="00ED3B78"/>
    <w:rsid w:val="00EE5B1C"/>
    <w:rsid w:val="00F4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1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551E"/>
    <w:rPr>
      <w:rFonts w:cs="Times New Roman"/>
      <w:color w:val="0000FF"/>
      <w:u w:val="single"/>
    </w:rPr>
  </w:style>
  <w:style w:type="paragraph" w:styleId="a4">
    <w:name w:val="List Paragraph"/>
    <w:aliases w:val="название табл/рис,заголовок 1.1,Number Bullets,List Paragraph (numbered (a)),List Paragraph_Num123,Список уровня 2,AC List 01"/>
    <w:basedOn w:val="a"/>
    <w:link w:val="a5"/>
    <w:uiPriority w:val="1"/>
    <w:qFormat/>
    <w:rsid w:val="00E955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uk-UA" w:eastAsia="en-US"/>
    </w:rPr>
  </w:style>
  <w:style w:type="character" w:customStyle="1" w:styleId="a5">
    <w:name w:val="Абзац списка Знак"/>
    <w:aliases w:val="название табл/рис Знак,заголовок 1.1 Знак,Number Bullets Знак,List Paragraph (numbered (a)) Знак,List Paragraph_Num123 Знак,Список уровня 2 Знак,AC List 01 Знак"/>
    <w:link w:val="a4"/>
    <w:uiPriority w:val="1"/>
    <w:locked/>
    <w:rsid w:val="00E9551E"/>
  </w:style>
  <w:style w:type="paragraph" w:customStyle="1" w:styleId="1">
    <w:name w:val="Обычный1"/>
    <w:qFormat/>
    <w:rsid w:val="00E9551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No Spacing"/>
    <w:link w:val="a7"/>
    <w:uiPriority w:val="1"/>
    <w:qFormat/>
    <w:rsid w:val="00E9551E"/>
    <w:pPr>
      <w:spacing w:after="0" w:line="240" w:lineRule="auto"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E9551E"/>
    <w:rPr>
      <w:lang w:val="ru-RU"/>
    </w:rPr>
  </w:style>
  <w:style w:type="paragraph" w:customStyle="1" w:styleId="WW-">
    <w:name w:val="WW-Базовый"/>
    <w:rsid w:val="001050A2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7284</Words>
  <Characters>4153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Gritsjuk S.P.</dc:creator>
  <cp:lastModifiedBy>User</cp:lastModifiedBy>
  <cp:revision>8</cp:revision>
  <cp:lastPrinted>2023-08-23T12:51:00Z</cp:lastPrinted>
  <dcterms:created xsi:type="dcterms:W3CDTF">2023-07-11T08:58:00Z</dcterms:created>
  <dcterms:modified xsi:type="dcterms:W3CDTF">2023-08-24T09:15:00Z</dcterms:modified>
</cp:coreProperties>
</file>