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920" w:hanging="0"/>
        <w:contextualSpacing/>
        <w:jc w:val="right"/>
        <w:rPr>
          <w:b/>
          <w:b/>
          <w:bCs/>
          <w:lang w:eastAsia="ru-RU"/>
        </w:rPr>
      </w:pPr>
      <w:r>
        <w:rPr>
          <w:b/>
          <w:bCs/>
          <w:color w:val="000000"/>
          <w:lang w:eastAsia="ru-RU"/>
        </w:rPr>
        <w:t>Додаток 2</w:t>
      </w:r>
    </w:p>
    <w:p>
      <w:pPr>
        <w:pStyle w:val="Normal"/>
        <w:spacing w:before="0" w:after="0"/>
        <w:ind w:left="2880" w:hanging="0"/>
        <w:contextualSpacing/>
        <w:jc w:val="right"/>
        <w:rPr>
          <w:lang w:eastAsia="ru-RU"/>
        </w:rPr>
      </w:pPr>
      <w:r>
        <w:rPr>
          <w:b/>
          <w:bCs/>
          <w:i/>
          <w:iCs/>
          <w:color w:val="000000"/>
          <w:lang w:eastAsia="ru-RU"/>
        </w:rPr>
        <w:t>    </w:t>
      </w:r>
      <w:r>
        <w:rPr>
          <w:color w:val="000000"/>
          <w:lang w:eastAsia="ru-RU"/>
        </w:rPr>
        <w:t xml:space="preserve">до </w:t>
      </w:r>
      <w:r>
        <w:rPr>
          <w:color w:val="000000"/>
          <w:shd w:fill="FFFFFF" w:val="clear"/>
          <w:lang w:eastAsia="ru-RU"/>
        </w:rPr>
        <w:t> оголошення про проведення спрощеної закупівлі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eastAsia="Times New Roman"/>
          <w:b/>
          <w:b/>
          <w:bCs/>
          <w:sz w:val="16"/>
          <w:szCs w:val="16"/>
          <w:lang w:val="uk-UA" w:eastAsia="uk-UA"/>
        </w:rPr>
      </w:pPr>
      <w:r>
        <w:rPr>
          <w:rFonts w:eastAsia="Times New Roman" w:ascii="Times New Roman" w:hAnsi="Times New Roman"/>
          <w:b/>
          <w:bCs/>
          <w:sz w:val="16"/>
          <w:szCs w:val="16"/>
          <w:lang w:val="uk-UA" w:eastAsia="uk-UA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uk-U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uk-UA"/>
        </w:rPr>
        <w:t xml:space="preserve">Інформація про необхідні якісні та кількісні характеристики 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uk-U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uk-UA"/>
        </w:rPr>
        <w:t>предмету закупівлі</w:t>
      </w:r>
      <w:r>
        <w:rPr>
          <w:lang w:val="uk-UA"/>
        </w:rPr>
        <w:t xml:space="preserve"> </w:t>
      </w:r>
    </w:p>
    <w:p>
      <w:pPr>
        <w:pStyle w:val="12"/>
        <w:jc w:val="center"/>
        <w:rPr>
          <w:rFonts w:ascii="Times New Roman" w:hAnsi="Times New Roman"/>
          <w:b/>
          <w:b/>
          <w:bCs/>
          <w:spacing w:val="-4"/>
          <w:sz w:val="16"/>
          <w:szCs w:val="16"/>
          <w:lang w:val="uk-UA"/>
        </w:rPr>
      </w:pPr>
      <w:r>
        <w:rPr>
          <w:rFonts w:ascii="Times New Roman" w:hAnsi="Times New Roman"/>
          <w:b/>
          <w:bCs/>
          <w:spacing w:val="-4"/>
          <w:sz w:val="16"/>
          <w:szCs w:val="16"/>
          <w:lang w:val="uk-UA"/>
        </w:rPr>
        <w:t xml:space="preserve">   </w:t>
      </w:r>
    </w:p>
    <w:p>
      <w:pPr>
        <w:pStyle w:val="12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Перелік засобів  вимірювальної  техніки, які  знаходяться  в  експлуатації  та підлягають  ремонту та повірці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9214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2"/>
        <w:gridCol w:w="4820"/>
        <w:gridCol w:w="1559"/>
        <w:gridCol w:w="1842"/>
      </w:tblGrid>
      <w:tr>
        <w:trPr>
          <w:trHeight w:val="71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№</w:t>
            </w:r>
          </w:p>
          <w:p>
            <w:pPr>
              <w:pStyle w:val="Normal"/>
              <w:rPr/>
            </w:pPr>
            <w:r>
              <w:rPr/>
              <w:t>з/п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Найменування приладу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Кількість, шт.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Кінцевий строк надання послуг</w:t>
            </w:r>
          </w:p>
        </w:tc>
      </w:tr>
      <w:tr>
        <w:trPr>
          <w:trHeight w:val="54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/>
              <w:t xml:space="preserve">Послуги з ремонту та повірки лічильників газу </w:t>
            </w:r>
            <w:r>
              <w:rPr>
                <w:lang w:val="ru-RU"/>
              </w:rPr>
              <w:t xml:space="preserve">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en-US"/>
              </w:rPr>
              <w:t>GMS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G</w:t>
            </w:r>
            <w:r>
              <w:rPr>
                <w:lang w:val="ru-RU"/>
              </w:rPr>
              <w:t>40-40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15.09.2022*</w:t>
            </w:r>
          </w:p>
        </w:tc>
      </w:tr>
      <w:tr>
        <w:trPr>
          <w:trHeight w:val="53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bookmarkStart w:id="0" w:name="__DdeLink__543_924865427"/>
            <w:r>
              <w:rPr/>
              <w:t xml:space="preserve">Послуги з ремонту та повірки лічильників газу 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GMS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G</w:t>
            </w:r>
            <w:bookmarkEnd w:id="0"/>
            <w:r>
              <w:rPr>
                <w:lang w:val="ru-RU"/>
              </w:rPr>
              <w:t>100-80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15.09.2022*</w:t>
            </w:r>
          </w:p>
        </w:tc>
      </w:tr>
    </w:tbl>
    <w:p>
      <w:pPr>
        <w:pStyle w:val="Normal"/>
        <w:tabs>
          <w:tab w:val="left" w:pos="360" w:leader="none"/>
          <w:tab w:val="left" w:pos="2116" w:leader="none"/>
        </w:tabs>
        <w:rPr/>
      </w:pPr>
      <w:r>
        <w:rPr/>
      </w:r>
    </w:p>
    <w:p>
      <w:pPr>
        <w:pStyle w:val="Normal"/>
        <w:ind w:firstLine="567"/>
        <w:jc w:val="both"/>
        <w:rPr>
          <w:lang w:eastAsia="ru-RU"/>
        </w:rPr>
      </w:pPr>
      <w:r>
        <w:rPr>
          <w:lang w:eastAsia="ru-RU"/>
        </w:rPr>
        <w:t xml:space="preserve">* Позначені терміни проведення повірки газових лічильників уточнюються  та погоджуються із Замовником у зв’язку із необхідністю забезпеченням гарячого водопостачання окремо для кожного газового лічильника та не повинні перевищувати 15 календарних днів (враховуючи отримання та доставку за адресою: м. Тернопіль вул. І. Франка,16), але не пізніше 15.09.2022р.. </w:t>
      </w:r>
    </w:p>
    <w:p>
      <w:pPr>
        <w:pStyle w:val="Normal"/>
        <w:ind w:firstLine="567"/>
        <w:jc w:val="both"/>
        <w:rPr>
          <w:lang w:eastAsia="ru-RU"/>
        </w:rPr>
      </w:pPr>
      <w:r>
        <w:rPr>
          <w:lang w:eastAsia="ru-RU"/>
        </w:rPr>
        <w:t>Запропоновані Учасником послуги повинні відповідати  вимогам: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>Закону України «Про метрологію та метрологічну діяльність»;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>н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аказ</w:t>
      </w:r>
      <w:r>
        <w:rPr>
          <w:rFonts w:eastAsia="Times New Roman" w:ascii="Times New Roman" w:hAnsi="Times New Roman"/>
          <w:sz w:val="24"/>
          <w:szCs w:val="24"/>
          <w:lang w:val="uk-UA" w:eastAsia="ru-RU"/>
        </w:rPr>
        <w:t>у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Мінекономрозвитку України №193 від 08.02.2016 року.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</w:t>
      </w:r>
      <w:r>
        <w:rPr>
          <w:rFonts w:eastAsia="Times New Roman" w:ascii="Times New Roman" w:hAnsi="Times New Roman"/>
          <w:sz w:val="24"/>
          <w:szCs w:val="24"/>
          <w:lang w:val="uk-UA" w:eastAsia="ru-RU"/>
        </w:rPr>
        <w:t>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sz w:val="24"/>
          <w:szCs w:val="24"/>
          <w:lang w:val="uk-UA" w:eastAsia="ru-RU"/>
        </w:rPr>
        <w:t>п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останов</w:t>
      </w:r>
      <w:r>
        <w:rPr>
          <w:rFonts w:eastAsia="Times New Roman" w:ascii="Times New Roman" w:hAnsi="Times New Roman"/>
          <w:bCs/>
          <w:sz w:val="24"/>
          <w:szCs w:val="24"/>
          <w:lang w:val="uk-UA" w:eastAsia="ru-RU"/>
        </w:rPr>
        <w:t>і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 КМУ від 24.02.2016 р.</w:t>
      </w:r>
      <w:r>
        <w:rPr>
          <w:rFonts w:eastAsia="Times New Roman" w:ascii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№163 «Про затвердження Технічного регламенту засобів вимірювальної техніки»</w:t>
      </w:r>
      <w:r>
        <w:rPr>
          <w:rFonts w:eastAsia="Times New Roman" w:ascii="Times New Roman" w:hAnsi="Times New Roman"/>
          <w:bCs/>
          <w:sz w:val="24"/>
          <w:szCs w:val="24"/>
          <w:lang w:val="uk-UA" w:eastAsia="ru-RU"/>
        </w:rPr>
        <w:t>.</w:t>
      </w:r>
    </w:p>
    <w:p>
      <w:pPr>
        <w:pStyle w:val="Normal"/>
        <w:rPr>
          <w:lang w:eastAsia="ru-RU"/>
        </w:rPr>
      </w:pPr>
      <w:r>
        <w:rPr>
          <w:lang w:eastAsia="ru-RU"/>
        </w:rPr>
        <w:t>Перелік послуг :</w:t>
      </w:r>
    </w:p>
    <w:p>
      <w:pPr>
        <w:pStyle w:val="Normal"/>
        <w:rPr>
          <w:lang w:eastAsia="ru-RU"/>
        </w:rPr>
      </w:pPr>
      <w:r>
        <w:rPr>
          <w:lang w:eastAsia="ru-RU"/>
        </w:rPr>
        <w:t>· проведення робіт з ремонту лічильників (підшипників, ущільнювальних кілець, герконів, зачистка посадкових місць, балансування роторів та інші роботи);</w:t>
      </w:r>
    </w:p>
    <w:p>
      <w:pPr>
        <w:pStyle w:val="Normal"/>
        <w:rPr>
          <w:lang w:eastAsia="ru-RU"/>
        </w:rPr>
      </w:pPr>
      <w:r>
        <w:rPr>
          <w:lang w:eastAsia="ru-RU"/>
        </w:rPr>
        <w:t>· видалення пилу, іржі, вологи та інших агресивних утворень із внутрішньої поверхні лічильників газу;</w:t>
      </w:r>
    </w:p>
    <w:p>
      <w:pPr>
        <w:pStyle w:val="Normal"/>
        <w:rPr>
          <w:lang w:eastAsia="ru-RU"/>
        </w:rPr>
      </w:pPr>
      <w:r>
        <w:rPr>
          <w:lang w:eastAsia="ru-RU"/>
        </w:rPr>
        <w:t>· перевірка працездатності механізму лічильників, герконів та НЧ (ВЧ) виходів;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w:t>· перевірка роторів на цілісність, перевірка стану підшипників;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w:t>· перевірка відповідності метрологічних характеристик лічильників газу на повірочному стенді паспортним даним;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w:t>· юстування лічильників газу 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Умови надання послуг: </w:t>
      </w:r>
    </w:p>
    <w:p>
      <w:pPr>
        <w:pStyle w:val="Normal"/>
        <w:rPr/>
      </w:pPr>
      <w:r>
        <w:rPr/>
        <w:t>1. Виконавець повинен мати свідоцтво про уповноваження на право проведення повірки  засобів  вимірювальної  техніки,  які  застосовуються  у сфері  законодавчо регульованої метрології та перебувають в експлуатації.</w:t>
      </w:r>
    </w:p>
    <w:p>
      <w:pPr>
        <w:pStyle w:val="Normal"/>
        <w:rPr/>
      </w:pPr>
      <w:r>
        <w:rPr/>
        <w:t xml:space="preserve">2. Для надання метрологічних послуг Виконавець повинен мати технічну  базу, всі необхідні та достатні умови для проведення  ремонту та повірки. </w:t>
      </w:r>
    </w:p>
    <w:p>
      <w:pPr>
        <w:pStyle w:val="Normal"/>
        <w:rPr/>
      </w:pPr>
      <w:r>
        <w:rPr/>
        <w:t>3. Усі витрати при наданні послуг з  метрологічної повірки в тому числі: транспортні витрати  необхідні для доставки газових лічильників до місця повірки та зворотня доставка лічильників, витрати пов’язані з видачею відповідних Свідоцтв, довідок  про повірку;  витрати пов’язанні з послугами сторонніх організацій залучених при  наданні послуг, тощо покладаються на Виконавця та повинні бути враховані  в ціновій пропозиції.</w:t>
      </w:r>
    </w:p>
    <w:p>
      <w:pPr>
        <w:pStyle w:val="Normal"/>
        <w:rPr/>
      </w:pPr>
      <w:r>
        <w:rPr/>
        <w:t>4. Виконавець повинен забезпечити надання послуг  кваліфікованими  фахівцями, які пройшли навчання та перевірку знання правил на право проведення метрологічних робіт.</w:t>
      </w:r>
    </w:p>
    <w:p>
      <w:pPr>
        <w:pStyle w:val="Normal"/>
        <w:rPr/>
      </w:pPr>
      <w:r>
        <w:rPr/>
        <w:t>5. Послуги надаються  у лабораторіях Виконавця,  передача та повернення ЗВТ здійснюється за актом приймання-передачі.</w:t>
      </w:r>
    </w:p>
    <w:p>
      <w:pPr>
        <w:pStyle w:val="Normal"/>
        <w:rPr/>
      </w:pPr>
      <w:r>
        <w:rPr/>
        <w:t>6. Проведення ремонту  та повірки лічильників газу здійснюється відповідно до  методик повірки для кожного типу лічильника.</w:t>
      </w:r>
    </w:p>
    <w:p>
      <w:pPr>
        <w:pStyle w:val="Normal"/>
        <w:rPr>
          <w:color w:val="000000"/>
          <w:sz w:val="27"/>
          <w:szCs w:val="27"/>
          <w:lang w:eastAsia="ru-RU"/>
        </w:rPr>
      </w:pPr>
      <w:r>
        <w:rPr>
          <w:color w:val="000000"/>
          <w:lang w:eastAsia="ru-RU"/>
        </w:rPr>
        <w:t>7. Виявлені в процесі експлуатації, перевірок і випробувань неякісні послуги підлягають виправленню, а неякісні матеріали - заміні</w:t>
      </w:r>
      <w:r>
        <w:rPr>
          <w:color w:val="000000"/>
          <w:sz w:val="27"/>
          <w:szCs w:val="27"/>
          <w:lang w:eastAsia="ru-RU"/>
        </w:rPr>
        <w:t>.</w:t>
      </w:r>
    </w:p>
    <w:p>
      <w:pPr>
        <w:pStyle w:val="Normal"/>
        <w:rPr>
          <w:highlight w:val="white"/>
        </w:rPr>
      </w:pPr>
      <w:r>
        <w:rPr/>
        <w:t xml:space="preserve">8. </w:t>
      </w:r>
      <w:r>
        <w:rPr>
          <w:shd w:fill="FFFFFF" w:val="clear"/>
        </w:rPr>
        <w:t>Проведення повірки уповноваженим представником органу стандартизації, метрології та сертифікації  підтверджується шляхом видачі документів встановленого типу: Свідоцтва про повірку ЗВТ, протокол повірки.</w:t>
      </w:r>
    </w:p>
    <w:p>
      <w:pPr>
        <w:pStyle w:val="Normal"/>
        <w:rPr/>
      </w:pPr>
      <w:r>
        <w:rPr>
          <w:shd w:fill="FFFFFF" w:val="clear"/>
        </w:rPr>
        <w:t xml:space="preserve">9. </w:t>
      </w:r>
      <w:r>
        <w:rPr/>
        <w:t>Оформлення результатів повірки проводиться відповідно до вимог Порядку проведення повірки законодавчо регульованих засобів вимірювальної техніки, що перебувають в експлуатації (затверджено Наказом Мінекономрозвитку України від 08.02.2016 №193).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36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uk-UA" w:eastAsia="zh-CN" w:bidi="ar-SA"/>
    </w:rPr>
  </w:style>
  <w:style w:type="paragraph" w:styleId="1">
    <w:name w:val="Heading 1"/>
    <w:basedOn w:val="Normal"/>
    <w:link w:val="10"/>
    <w:uiPriority w:val="9"/>
    <w:qFormat/>
    <w:rsid w:val="002e6ea8"/>
    <w:pPr>
      <w:suppressAutoHyphens w:val="false"/>
      <w:spacing w:beforeAutospacing="1" w:afterAutospacing="1"/>
      <w:outlineLvl w:val="0"/>
    </w:pPr>
    <w:rPr>
      <w:b/>
      <w:bCs/>
      <w:sz w:val="48"/>
      <w:szCs w:val="48"/>
      <w:lang w:val="ru-RU" w:eastAsia="ru-RU"/>
    </w:rPr>
  </w:style>
  <w:style w:type="paragraph" w:styleId="2">
    <w:name w:val="Heading 2"/>
    <w:basedOn w:val="Normal"/>
    <w:link w:val="20"/>
    <w:uiPriority w:val="9"/>
    <w:unhideWhenUsed/>
    <w:qFormat/>
    <w:rsid w:val="007465c6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7465c6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link w:val="40"/>
    <w:uiPriority w:val="9"/>
    <w:unhideWhenUsed/>
    <w:qFormat/>
    <w:rsid w:val="007465c6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e6ea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0" w:customStyle="1">
    <w:name w:val="Текст выноски Знак"/>
    <w:basedOn w:val="DefaultParagraphFont"/>
    <w:link w:val="a6"/>
    <w:uiPriority w:val="99"/>
    <w:semiHidden/>
    <w:qFormat/>
    <w:rsid w:val="007465c6"/>
    <w:rPr>
      <w:rFonts w:ascii="Tahoma" w:hAnsi="Tahoma" w:eastAsia="Times New Roman" w:cs="Tahoma"/>
      <w:sz w:val="16"/>
      <w:szCs w:val="16"/>
      <w:lang w:val="uk-UA" w:eastAsia="zh-C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465c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uk-UA" w:eastAsia="zh-CN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465c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uk-UA" w:eastAsia="zh-CN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7465c6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val="uk-UA" w:eastAsia="zh-CN"/>
    </w:rPr>
  </w:style>
  <w:style w:type="character" w:styleId="Strong">
    <w:name w:val="Strong"/>
    <w:basedOn w:val="DefaultParagraphFont"/>
    <w:uiPriority w:val="22"/>
    <w:qFormat/>
    <w:rsid w:val="007465c6"/>
    <w:rPr>
      <w:b/>
      <w:bCs/>
    </w:rPr>
  </w:style>
  <w:style w:type="character" w:styleId="Style11" w:customStyle="1">
    <w:name w:val="Основной текст с отступом Знак"/>
    <w:basedOn w:val="DefaultParagraphFont"/>
    <w:link w:val="ac"/>
    <w:qFormat/>
    <w:rsid w:val="00fa4f11"/>
    <w:rPr>
      <w:rFonts w:ascii="Times New Roman CYR" w:hAnsi="Times New Roman CYR" w:eastAsia="Calibri" w:cs="Times New Roman"/>
      <w:sz w:val="24"/>
      <w:szCs w:val="24"/>
      <w:lang w:val="en-US" w:eastAsia="zh-CN"/>
    </w:rPr>
  </w:style>
  <w:style w:type="character" w:styleId="NoSpacingChar" w:customStyle="1">
    <w:name w:val="No Spacing Char"/>
    <w:link w:val="11"/>
    <w:qFormat/>
    <w:locked/>
    <w:rsid w:val="00fa4f11"/>
    <w:rPr>
      <w:rFonts w:ascii="Calibri" w:hAnsi="Calibri" w:eastAsia="Times New Roman" w:cs="Times New Roman"/>
    </w:rPr>
  </w:style>
  <w:style w:type="character" w:styleId="Hps" w:customStyle="1">
    <w:name w:val="hps"/>
    <w:qFormat/>
    <w:rsid w:val="00fa4f11"/>
    <w:rPr/>
  </w:style>
  <w:style w:type="character" w:styleId="22" w:customStyle="1">
    <w:name w:val="Основной текст (2)_"/>
    <w:basedOn w:val="DefaultParagraphFont"/>
    <w:link w:val="210"/>
    <w:qFormat/>
    <w:locked/>
    <w:rsid w:val="00fa4f11"/>
    <w:rPr>
      <w:sz w:val="18"/>
      <w:szCs w:val="18"/>
      <w:shd w:fill="FFFFFF" w:val="clear"/>
    </w:rPr>
  </w:style>
  <w:style w:type="character" w:styleId="6" w:customStyle="1">
    <w:name w:val="Основной текст + 6"/>
    <w:basedOn w:val="DefaultParagraphFont"/>
    <w:qFormat/>
    <w:rsid w:val="00fa4f11"/>
    <w:rPr>
      <w:rFonts w:ascii="Arial" w:hAnsi="Arial" w:eastAsia="Times New Roman" w:cs="Arial"/>
      <w:spacing w:val="10"/>
      <w:sz w:val="13"/>
      <w:szCs w:val="13"/>
      <w:shd w:fill="FFFFFF" w:val="clear"/>
      <w:lang w:eastAsia="ru-RU"/>
    </w:rPr>
  </w:style>
  <w:style w:type="character" w:styleId="Style12" w:customStyle="1">
    <w:name w:val="Абзац списка Знак"/>
    <w:link w:val="a3"/>
    <w:uiPriority w:val="34"/>
    <w:qFormat/>
    <w:locked/>
    <w:rsid w:val="00fa4f11"/>
    <w:rPr>
      <w:rFonts w:ascii="Calibri" w:hAnsi="Calibri" w:eastAsia="Calibri" w:cs="Times New Roman"/>
    </w:rPr>
  </w:style>
  <w:style w:type="character" w:styleId="Style13">
    <w:name w:val="Гіперпосилання"/>
    <w:basedOn w:val="DefaultParagraphFont"/>
    <w:uiPriority w:val="99"/>
    <w:semiHidden/>
    <w:unhideWhenUsed/>
    <w:rsid w:val="005b2522"/>
    <w:rPr>
      <w:color w:val="0000FF"/>
      <w:u w:val="single"/>
    </w:rPr>
  </w:style>
  <w:style w:type="character" w:styleId="Style14" w:customStyle="1">
    <w:name w:val="Обычный (веб) Знак"/>
    <w:link w:val="a8"/>
    <w:uiPriority w:val="99"/>
    <w:qFormat/>
    <w:locked/>
    <w:rsid w:val="00835bf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eastAsia="Times New Roman" w:cs="Times New Roman"/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ascii="Times New Roman" w:hAnsi="Times New Roman" w:eastAsia="Times New Roman" w:cs="Times New Roman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  <w:i w:val="false"/>
      <w:color w:val="00000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4"/>
    <w:uiPriority w:val="34"/>
    <w:qFormat/>
    <w:rsid w:val="009b3694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465c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a9"/>
    <w:uiPriority w:val="99"/>
    <w:unhideWhenUsed/>
    <w:qFormat/>
    <w:rsid w:val="007465c6"/>
    <w:pPr>
      <w:suppressAutoHyphens w:val="false"/>
      <w:spacing w:lineRule="auto" w:line="288" w:beforeAutospacing="1" w:after="142"/>
    </w:pPr>
    <w:rPr>
      <w:lang w:val="ru-RU" w:eastAsia="ru-RU"/>
    </w:rPr>
  </w:style>
  <w:style w:type="paragraph" w:styleId="NoSpacing">
    <w:name w:val="No Spacing"/>
    <w:uiPriority w:val="1"/>
    <w:qFormat/>
    <w:rsid w:val="007465c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uk-UA" w:eastAsia="zh-CN" w:bidi="ar-SA"/>
    </w:rPr>
  </w:style>
  <w:style w:type="paragraph" w:styleId="Style20">
    <w:name w:val="Body Text Indent"/>
    <w:basedOn w:val="Normal"/>
    <w:link w:val="ad"/>
    <w:rsid w:val="00fa4f11"/>
    <w:pPr>
      <w:widowControl w:val="false"/>
      <w:suppressAutoHyphens w:val="false"/>
      <w:spacing w:before="0" w:after="120"/>
      <w:ind w:left="283" w:hanging="0"/>
    </w:pPr>
    <w:rPr>
      <w:rFonts w:ascii="Times New Roman CYR" w:hAnsi="Times New Roman CYR" w:eastAsia="Calibri"/>
      <w:lang w:val="en-US"/>
    </w:rPr>
  </w:style>
  <w:style w:type="paragraph" w:styleId="12" w:customStyle="1">
    <w:name w:val="Без интервала1"/>
    <w:link w:val="NoSpacingChar"/>
    <w:qFormat/>
    <w:rsid w:val="00fa4f1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2"/>
      <w:lang w:val="ru-RU" w:eastAsia="en-US" w:bidi="ar-SA"/>
    </w:rPr>
  </w:style>
  <w:style w:type="paragraph" w:styleId="13" w:customStyle="1">
    <w:name w:val="Абзац списка1"/>
    <w:basedOn w:val="Normal"/>
    <w:qFormat/>
    <w:rsid w:val="00fa4f11"/>
    <w:pPr>
      <w:suppressAutoHyphens w:val="false"/>
      <w:spacing w:before="0" w:after="0"/>
      <w:ind w:left="720" w:hanging="0"/>
      <w:contextualSpacing/>
    </w:pPr>
    <w:rPr>
      <w:rFonts w:eastAsia="Calibri"/>
      <w:lang w:eastAsia="ru-RU"/>
    </w:rPr>
  </w:style>
  <w:style w:type="paragraph" w:styleId="211" w:customStyle="1">
    <w:name w:val="Основной текст (2)1"/>
    <w:basedOn w:val="Normal"/>
    <w:link w:val="21"/>
    <w:qFormat/>
    <w:rsid w:val="00fa4f11"/>
    <w:pPr/>
    <w:rPr>
      <w:rFonts w:ascii="Calibri" w:hAnsi="Calibri" w:eastAsia="Calibri" w:cs="" w:asciiTheme="minorHAnsi" w:cstheme="minorBidi" w:eastAsiaTheme="minorHAnsi" w:hAnsiTheme="minorHAnsi"/>
      <w:sz w:val="18"/>
      <w:szCs w:val="18"/>
      <w:shd w:fill="FFFFFF" w:val="clear"/>
      <w:lang w:val="ru-RU" w:eastAsia="en-US"/>
    </w:rPr>
  </w:style>
  <w:style w:type="paragraph" w:styleId="Default" w:customStyle="1">
    <w:name w:val="Default"/>
    <w:qFormat/>
    <w:rsid w:val="00fa4f1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6ea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0F448-D72D-46E6-9BE6-02900F2C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Application>LibreOffice/5.1.3.2$Windows_x86 LibreOffice_project/644e4637d1d8544fd9f56425bd6cec110e49301b</Application>
  <Pages>2</Pages>
  <Words>452</Words>
  <Characters>3162</Characters>
  <CharactersWithSpaces>3621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2021-01-21T08:28:00Z</dcterms:created>
  <dc:creator>evdoschenko</dc:creator>
  <dc:description/>
  <dc:language>uk-UA</dc:language>
  <cp:lastModifiedBy/>
  <cp:lastPrinted>2022-08-10T06:18:00Z</cp:lastPrinted>
  <dcterms:modified xsi:type="dcterms:W3CDTF">2022-08-10T14:47:16Z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