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0353EB" w:rsidRDefault="00F645F5" w:rsidP="00652E8E">
            <w:pPr>
              <w:spacing w:line="240" w:lineRule="auto"/>
              <w:rPr>
                <w:rFonts w:ascii="Times New Roman" w:eastAsia="Times New Roman" w:hAnsi="Times New Roman" w:cs="Times New Roman"/>
                <w:color w:val="000000" w:themeColor="text1"/>
                <w:sz w:val="24"/>
                <w:szCs w:val="24"/>
                <w:lang w:val="uk-UA"/>
              </w:rPr>
            </w:pPr>
            <w:r w:rsidRPr="000353EB">
              <w:rPr>
                <w:rFonts w:ascii="Times New Roman" w:eastAsia="Times New Roman" w:hAnsi="Times New Roman" w:cs="Times New Roman"/>
                <w:b/>
                <w:color w:val="000000" w:themeColor="text1"/>
                <w:sz w:val="24"/>
                <w:szCs w:val="24"/>
                <w:lang w:val="uk-UA"/>
              </w:rPr>
              <w:t xml:space="preserve">                                                                         Рішенням Уповноваженої </w:t>
            </w:r>
            <w:r w:rsidR="001502DC">
              <w:rPr>
                <w:rFonts w:ascii="Times New Roman" w:eastAsia="Times New Roman" w:hAnsi="Times New Roman" w:cs="Times New Roman"/>
                <w:b/>
                <w:color w:val="000000" w:themeColor="text1"/>
                <w:sz w:val="24"/>
                <w:szCs w:val="24"/>
                <w:lang w:val="uk-UA"/>
              </w:rPr>
              <w:t>особи №</w:t>
            </w:r>
            <w:r w:rsidR="00652E8E">
              <w:rPr>
                <w:rFonts w:ascii="Times New Roman" w:eastAsia="Times New Roman" w:hAnsi="Times New Roman" w:cs="Times New Roman"/>
                <w:b/>
                <w:color w:val="000000" w:themeColor="text1"/>
                <w:sz w:val="24"/>
                <w:szCs w:val="24"/>
                <w:lang w:val="uk-UA"/>
              </w:rPr>
              <w:t>63</w:t>
            </w:r>
          </w:p>
        </w:tc>
      </w:tr>
      <w:tr w:rsidR="00F645F5" w:rsidRPr="00F40856" w:rsidTr="00F645F5">
        <w:tc>
          <w:tcPr>
            <w:tcW w:w="9318" w:type="dxa"/>
            <w:tcBorders>
              <w:top w:val="nil"/>
              <w:left w:val="nil"/>
              <w:bottom w:val="nil"/>
              <w:right w:val="nil"/>
            </w:tcBorders>
          </w:tcPr>
          <w:p w:rsidR="00F645F5" w:rsidRPr="00CB2CA0" w:rsidRDefault="00F645F5" w:rsidP="00AD2E47">
            <w:pPr>
              <w:spacing w:line="240" w:lineRule="auto"/>
              <w:rPr>
                <w:rFonts w:ascii="Times New Roman" w:eastAsia="Times New Roman" w:hAnsi="Times New Roman" w:cs="Times New Roman"/>
                <w:color w:val="FF0000"/>
                <w:sz w:val="24"/>
                <w:szCs w:val="24"/>
                <w:lang w:val="uk-UA"/>
              </w:rPr>
            </w:pPr>
            <w:r w:rsidRPr="009C7DE4">
              <w:rPr>
                <w:rFonts w:ascii="Times New Roman" w:eastAsia="Times New Roman" w:hAnsi="Times New Roman" w:cs="Times New Roman"/>
                <w:color w:val="000000" w:themeColor="text1"/>
                <w:sz w:val="24"/>
                <w:szCs w:val="24"/>
                <w:lang w:val="uk-UA"/>
              </w:rPr>
              <w:t xml:space="preserve">                                                                         </w:t>
            </w:r>
            <w:r w:rsidR="000E2E82" w:rsidRPr="009C7DE4">
              <w:rPr>
                <w:rFonts w:ascii="Times New Roman" w:eastAsia="Times New Roman" w:hAnsi="Times New Roman" w:cs="Times New Roman"/>
                <w:color w:val="000000" w:themeColor="text1"/>
                <w:sz w:val="24"/>
                <w:szCs w:val="24"/>
                <w:lang w:val="uk-UA"/>
              </w:rPr>
              <w:t>від “0</w:t>
            </w:r>
            <w:r w:rsidR="00D070A1">
              <w:rPr>
                <w:rFonts w:ascii="Times New Roman" w:eastAsia="Times New Roman" w:hAnsi="Times New Roman" w:cs="Times New Roman"/>
                <w:color w:val="000000" w:themeColor="text1"/>
                <w:sz w:val="24"/>
                <w:szCs w:val="24"/>
                <w:lang w:val="uk-UA"/>
              </w:rPr>
              <w:t>9</w:t>
            </w:r>
            <w:r w:rsidR="000E2E82" w:rsidRPr="009C7DE4">
              <w:rPr>
                <w:rFonts w:ascii="Times New Roman" w:eastAsia="Times New Roman" w:hAnsi="Times New Roman" w:cs="Times New Roman"/>
                <w:color w:val="000000" w:themeColor="text1"/>
                <w:sz w:val="24"/>
                <w:szCs w:val="24"/>
                <w:lang w:val="uk-UA"/>
              </w:rPr>
              <w:t>” квітня</w:t>
            </w:r>
            <w:r w:rsidR="0034548D" w:rsidRPr="009C7DE4">
              <w:rPr>
                <w:rFonts w:ascii="Times New Roman" w:eastAsia="Times New Roman" w:hAnsi="Times New Roman" w:cs="Times New Roman"/>
                <w:color w:val="000000" w:themeColor="text1"/>
                <w:sz w:val="24"/>
                <w:szCs w:val="24"/>
                <w:lang w:val="uk-UA"/>
              </w:rPr>
              <w:t xml:space="preserve"> </w:t>
            </w:r>
            <w:r w:rsidRPr="009C7DE4">
              <w:rPr>
                <w:rFonts w:ascii="Times New Roman" w:eastAsia="Times New Roman" w:hAnsi="Times New Roman" w:cs="Times New Roman"/>
                <w:color w:val="000000" w:themeColor="text1"/>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1E764E" w:rsidRDefault="00814E11" w:rsidP="001E764E">
      <w:pPr>
        <w:spacing w:before="240" w:line="24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sz w:val="28"/>
          <w:szCs w:val="28"/>
        </w:rPr>
        <w:t xml:space="preserve"> </w:t>
      </w:r>
      <w:r w:rsidR="00652E8E" w:rsidRPr="00652E8E">
        <w:rPr>
          <w:rFonts w:ascii="Times New Roman" w:eastAsia="Times New Roman" w:hAnsi="Times New Roman" w:cs="Times New Roman"/>
          <w:b/>
          <w:sz w:val="28"/>
          <w:szCs w:val="28"/>
        </w:rPr>
        <w:t>код ДК 021:2015 – 42510000-4 Теплообмінники, кондиціонери повітря, холодильне обладн</w:t>
      </w:r>
      <w:r w:rsidR="001E764E">
        <w:rPr>
          <w:rFonts w:ascii="Times New Roman" w:eastAsia="Times New Roman" w:hAnsi="Times New Roman" w:cs="Times New Roman"/>
          <w:b/>
          <w:sz w:val="28"/>
          <w:szCs w:val="28"/>
        </w:rPr>
        <w:t xml:space="preserve">ання та фільтрувальні пристрої </w:t>
      </w:r>
      <w:r w:rsidR="00652E8E" w:rsidRPr="00652E8E">
        <w:rPr>
          <w:rFonts w:ascii="Times New Roman" w:eastAsia="Times New Roman" w:hAnsi="Times New Roman" w:cs="Times New Roman"/>
          <w:b/>
          <w:sz w:val="28"/>
          <w:szCs w:val="28"/>
        </w:rPr>
        <w:t>(кондиціонери)</w:t>
      </w:r>
    </w:p>
    <w:p w:rsidR="003E1BAB" w:rsidRDefault="003E1BAB">
      <w:pPr>
        <w:spacing w:line="240" w:lineRule="auto"/>
        <w:jc w:val="center"/>
        <w:rPr>
          <w:rFonts w:ascii="Times New Roman" w:eastAsia="Times New Roman" w:hAnsi="Times New Roman" w:cs="Times New Roman"/>
          <w:color w:val="000000"/>
          <w:sz w:val="24"/>
          <w:szCs w:val="24"/>
        </w:rPr>
      </w:pPr>
    </w:p>
    <w:bookmarkEnd w:id="0"/>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1E764E" w:rsidRDefault="001E764E">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AD2E47">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Адреса: 41300, Україна, Сумська область, м.Кролевець, бул.Шевченка,57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D070A1"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lang w:val="en-US"/>
              </w:rPr>
              <w:t>E</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mail</w:t>
            </w:r>
            <w:r w:rsidRPr="00D070A1">
              <w:rPr>
                <w:rFonts w:ascii="Times New Roman" w:eastAsia="Times New Roman" w:hAnsi="Times New Roman" w:cs="Times New Roman"/>
                <w:color w:val="000000"/>
                <w:sz w:val="24"/>
                <w:szCs w:val="24"/>
              </w:rPr>
              <w:t xml:space="preserve">: </w:t>
            </w:r>
            <w:r w:rsidRPr="00A66F1D">
              <w:rPr>
                <w:rFonts w:ascii="Times New Roman" w:eastAsia="Times New Roman" w:hAnsi="Times New Roman" w:cs="Times New Roman"/>
                <w:color w:val="000000"/>
                <w:sz w:val="24"/>
                <w:szCs w:val="24"/>
                <w:lang w:val="en-US"/>
              </w:rPr>
              <w:t>crlkrolevets</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ukr</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rsidTr="003135A3">
        <w:trPr>
          <w:trHeight w:val="98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Pr="00DF6818" w:rsidRDefault="00652E8E" w:rsidP="001E764E">
            <w:pPr>
              <w:jc w:val="both"/>
              <w:rPr>
                <w:rFonts w:ascii="Times New Roman" w:eastAsia="Times New Roman" w:hAnsi="Times New Roman" w:cs="Times New Roman"/>
                <w:b/>
                <w:color w:val="000000"/>
                <w:sz w:val="24"/>
                <w:szCs w:val="24"/>
              </w:rPr>
            </w:pPr>
            <w:r w:rsidRPr="00652E8E">
              <w:rPr>
                <w:rFonts w:ascii="Times New Roman" w:eastAsia="Times New Roman" w:hAnsi="Times New Roman" w:cs="Times New Roman"/>
                <w:b/>
                <w:color w:val="000000"/>
                <w:sz w:val="24"/>
                <w:szCs w:val="24"/>
              </w:rPr>
              <w:t>код ДК 021:2015 – 42510000-4 Теплообмінники, кондиціонери повітря, холодильне обладн</w:t>
            </w:r>
            <w:r>
              <w:rPr>
                <w:rFonts w:ascii="Times New Roman" w:eastAsia="Times New Roman" w:hAnsi="Times New Roman" w:cs="Times New Roman"/>
                <w:b/>
                <w:color w:val="000000"/>
                <w:sz w:val="24"/>
                <w:szCs w:val="24"/>
              </w:rPr>
              <w:t xml:space="preserve">ання та фільтрувальні пристрої </w:t>
            </w:r>
            <w:r w:rsidRPr="00652E8E">
              <w:rPr>
                <w:rFonts w:ascii="Times New Roman" w:eastAsia="Times New Roman" w:hAnsi="Times New Roman" w:cs="Times New Roman"/>
                <w:b/>
                <w:color w:val="000000"/>
                <w:sz w:val="24"/>
                <w:szCs w:val="24"/>
              </w:rPr>
              <w:t>(кондиціонери)</w:t>
            </w: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Місце поставки товарів: 41300, Україна, Сумська область, м.Кролевець, бул.Шевч</w:t>
            </w:r>
            <w:r>
              <w:rPr>
                <w:rFonts w:ascii="Times New Roman" w:eastAsia="Times New Roman" w:hAnsi="Times New Roman" w:cs="Times New Roman"/>
                <w:sz w:val="24"/>
                <w:szCs w:val="24"/>
              </w:rPr>
              <w:t xml:space="preserve">енка,57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E705CE" w:rsidP="00E705CE">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д</w:t>
            </w:r>
            <w:r w:rsidR="00F645F5">
              <w:rPr>
                <w:rFonts w:ascii="Times New Roman" w:eastAsia="Times New Roman" w:hAnsi="Times New Roman" w:cs="Times New Roman"/>
                <w:color w:val="000000"/>
                <w:sz w:val="24"/>
                <w:szCs w:val="24"/>
                <w:lang w:val="uk-UA"/>
              </w:rPr>
              <w:t xml:space="preserve">о </w:t>
            </w:r>
            <w:r>
              <w:rPr>
                <w:rFonts w:ascii="Times New Roman" w:eastAsia="Times New Roman" w:hAnsi="Times New Roman" w:cs="Times New Roman"/>
                <w:color w:val="000000"/>
                <w:sz w:val="24"/>
                <w:szCs w:val="24"/>
                <w:lang w:val="uk-UA"/>
              </w:rPr>
              <w:t>30 червня</w:t>
            </w:r>
            <w:r w:rsidR="00F645F5">
              <w:rPr>
                <w:rFonts w:ascii="Times New Roman" w:eastAsia="Times New Roman" w:hAnsi="Times New Roman" w:cs="Times New Roman"/>
                <w:color w:val="000000"/>
                <w:sz w:val="24"/>
                <w:szCs w:val="24"/>
                <w:lang w:val="uk-UA"/>
              </w:rPr>
              <w:t xml:space="preserve"> 2024 року</w:t>
            </w:r>
            <w:r w:rsidR="00652E8E">
              <w:rPr>
                <w:rFonts w:ascii="Times New Roman" w:eastAsia="Times New Roman" w:hAnsi="Times New Roman" w:cs="Times New Roman"/>
                <w:color w:val="000000"/>
                <w:sz w:val="24"/>
                <w:szCs w:val="24"/>
                <w:lang w:val="uk-UA"/>
              </w:rPr>
              <w:t>, згідно зробленої заявки</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652E8E">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330000.00</w:t>
            </w:r>
            <w:r w:rsidR="003135A3">
              <w:rPr>
                <w:rFonts w:ascii="Times New Roman" w:eastAsia="Times New Roman" w:hAnsi="Times New Roman" w:cs="Times New Roman"/>
                <w:sz w:val="24"/>
                <w:szCs w:val="24"/>
                <w:lang w:val="uk-UA"/>
              </w:rPr>
              <w:t xml:space="preserve"> </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торгів, така тендерна пропозиція буде відхилена відповідно до абзацу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sidRPr="00814E11">
              <w:rPr>
                <w:rFonts w:ascii="Times New Roman" w:eastAsia="Times New Roman" w:hAnsi="Times New Roman" w:cs="Times New Roman"/>
                <w:bCs/>
                <w:color w:val="000000"/>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i/>
                <w:color w:val="000000"/>
                <w:sz w:val="24"/>
                <w:szCs w:val="24"/>
              </w:rPr>
              <w:lastRenderedPageBreak/>
              <w:t>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652E8E" w:rsidRDefault="00652E8E" w:rsidP="00652E8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652E8E" w:rsidRDefault="00652E8E" w:rsidP="00652E8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652E8E" w:rsidRPr="00652E8E" w:rsidRDefault="00652E8E" w:rsidP="00652E8E">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uk-UA"/>
              </w:rPr>
              <w:t>.</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1F7AFE">
              <w:rPr>
                <w:rFonts w:ascii="Times New Roman" w:eastAsia="Times New Roman" w:hAnsi="Times New Roman" w:cs="Times New Roman"/>
                <w:color w:val="000000"/>
                <w:sz w:val="24"/>
                <w:szCs w:val="24"/>
              </w:rPr>
              <w:lastRenderedPageBreak/>
              <w:t>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w:t>
            </w:r>
            <w:r w:rsidRPr="001F7AFE">
              <w:rPr>
                <w:rFonts w:ascii="Times New Roman" w:eastAsia="Times New Roman" w:hAnsi="Times New Roman" w:cs="Times New Roman"/>
                <w:color w:val="000000"/>
                <w:sz w:val="24"/>
                <w:szCs w:val="24"/>
              </w:rPr>
              <w:lastRenderedPageBreak/>
              <w:t>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w:t>
            </w:r>
            <w:r w:rsidRPr="001F7AFE">
              <w:rPr>
                <w:rFonts w:ascii="Times New Roman" w:eastAsia="Times New Roman" w:hAnsi="Times New Roman"/>
                <w:bCs/>
                <w:sz w:val="24"/>
                <w:szCs w:val="24"/>
              </w:rPr>
              <w:lastRenderedPageBreak/>
              <w:t xml:space="preserve">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47  Особливостей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Pr>
                <w:rFonts w:ascii="Times New Roman" w:eastAsia="Times New Roman" w:hAnsi="Times New Roman" w:cs="Times New Roman"/>
                <w:color w:val="000000"/>
                <w:sz w:val="24"/>
                <w:szCs w:val="24"/>
              </w:rPr>
              <w:lastRenderedPageBreak/>
              <w:t>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AD2E4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1</w:t>
            </w:r>
            <w:r w:rsidR="00D070A1">
              <w:rPr>
                <w:rFonts w:ascii="Times New Roman" w:eastAsia="Times New Roman" w:hAnsi="Times New Roman" w:cs="Times New Roman"/>
                <w:color w:val="000000"/>
                <w:sz w:val="24"/>
                <w:szCs w:val="24"/>
                <w:lang w:val="uk-UA"/>
              </w:rPr>
              <w:t>7</w:t>
            </w:r>
            <w:r w:rsidR="001F0A76">
              <w:rPr>
                <w:rFonts w:ascii="Times New Roman" w:eastAsia="Times New Roman" w:hAnsi="Times New Roman" w:cs="Times New Roman"/>
                <w:color w:val="000000"/>
                <w:sz w:val="24"/>
                <w:szCs w:val="24"/>
              </w:rPr>
              <w:t>.</w:t>
            </w:r>
            <w:r w:rsidR="00CF25D9">
              <w:rPr>
                <w:rFonts w:ascii="Times New Roman" w:eastAsia="Times New Roman" w:hAnsi="Times New Roman" w:cs="Times New Roman"/>
                <w:color w:val="000000"/>
                <w:sz w:val="24"/>
                <w:szCs w:val="24"/>
                <w:lang w:val="uk-UA"/>
              </w:rPr>
              <w:t>04</w:t>
            </w:r>
            <w:r w:rsidR="001F0A76">
              <w:rPr>
                <w:rFonts w:ascii="Times New Roman" w:eastAsia="Times New Roman" w:hAnsi="Times New Roman" w:cs="Times New Roman"/>
                <w:color w:val="000000"/>
                <w:sz w:val="24"/>
                <w:szCs w:val="24"/>
                <w:lang w:val="uk-UA"/>
              </w:rPr>
              <w:t>.2024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 xml:space="preserve">26 Закону, крім положень частин першої, </w:t>
            </w:r>
            <w:r w:rsidRPr="001F0A76">
              <w:rPr>
                <w:rFonts w:ascii="Times New Roman" w:eastAsia="Times New Roman" w:hAnsi="Times New Roman" w:cs="Times New Roman"/>
                <w:color w:val="000000"/>
                <w:sz w:val="24"/>
                <w:szCs w:val="24"/>
              </w:rPr>
              <w:lastRenderedPageBreak/>
              <w:t>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rPr>
              <w:lastRenderedPageBreak/>
              <w:t>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підготовкою та поданням тендерної пропозиції, не відшкодовуються </w:t>
            </w:r>
            <w:r>
              <w:rPr>
                <w:rFonts w:ascii="Times New Roman" w:eastAsia="Times New Roman" w:hAnsi="Times New Roman" w:cs="Times New Roman"/>
                <w:color w:val="000000"/>
                <w:sz w:val="24"/>
                <w:szCs w:val="24"/>
              </w:rPr>
              <w:lastRenderedPageBreak/>
              <w:t>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дією спеціальних економічних та інших обмежувальних заходів, </w:t>
            </w:r>
            <w:r>
              <w:rPr>
                <w:rFonts w:ascii="Times New Roman" w:eastAsia="Times New Roman" w:hAnsi="Times New Roman" w:cs="Times New Roman"/>
                <w:b/>
                <w:color w:val="000000"/>
                <w:sz w:val="24"/>
                <w:szCs w:val="24"/>
              </w:rPr>
              <w:lastRenderedPageBreak/>
              <w:t>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1F0A76">
              <w:rPr>
                <w:rFonts w:ascii="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w:t>
            </w:r>
            <w:r>
              <w:rPr>
                <w:rFonts w:ascii="Times New Roman" w:eastAsia="Times New Roman" w:hAnsi="Times New Roman" w:cs="Times New Roman"/>
                <w:color w:val="000000"/>
                <w:sz w:val="24"/>
                <w:szCs w:val="24"/>
              </w:rPr>
              <w:lastRenderedPageBreak/>
              <w:t>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1F0A76">
              <w:rPr>
                <w:rFonts w:ascii="Times New Roman" w:eastAsia="Times New Roman" w:hAnsi="Times New Roman" w:cs="Times New Roman"/>
                <w:color w:val="000000"/>
                <w:sz w:val="24"/>
                <w:szCs w:val="24"/>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E1BAB" w:rsidTr="003D20F2">
        <w:trPr>
          <w:trHeight w:val="60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652E8E">
        <w:rPr>
          <w:rFonts w:ascii="Times New Roman" w:hAnsi="Times New Roman"/>
          <w:b/>
          <w:sz w:val="24"/>
          <w:szCs w:val="24"/>
          <w:lang w:val="uk-UA"/>
        </w:rPr>
        <w:t>кондиціонерів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1E764E" w:rsidRPr="00544E0C" w:rsidRDefault="001E764E" w:rsidP="001E764E">
      <w:pPr>
        <w:jc w:val="both"/>
        <w:rPr>
          <w:rFonts w:ascii="Times New Roman" w:hAnsi="Times New Roman"/>
          <w:bCs/>
          <w:sz w:val="24"/>
          <w:szCs w:val="24"/>
          <w:lang w:val="uk-UA"/>
        </w:rPr>
      </w:pPr>
      <w:r>
        <w:rPr>
          <w:rFonts w:ascii="Times New Roman" w:hAnsi="Times New Roman"/>
          <w:bCs/>
          <w:sz w:val="28"/>
          <w:szCs w:val="28"/>
          <w:lang w:val="uk-UA"/>
        </w:rPr>
        <w:t xml:space="preserve">            </w:t>
      </w:r>
      <w:r w:rsidRPr="00544E0C">
        <w:rPr>
          <w:rFonts w:ascii="Times New Roman" w:hAnsi="Times New Roman"/>
          <w:bCs/>
          <w:sz w:val="24"/>
          <w:szCs w:val="24"/>
          <w:lang w:val="uk-UA"/>
        </w:rPr>
        <w:t>2.</w:t>
      </w:r>
      <w:r w:rsidRPr="00544E0C">
        <w:rPr>
          <w:rFonts w:ascii="Times New Roman" w:hAnsi="Times New Roman"/>
          <w:b/>
          <w:bCs/>
          <w:sz w:val="24"/>
          <w:szCs w:val="24"/>
          <w:lang w:val="uk-UA"/>
        </w:rPr>
        <w:t>Наявність в учасника процедури закупівлі обладнання, матеріально-технічної бази та технологій</w:t>
      </w:r>
      <w:r w:rsidRPr="00544E0C">
        <w:rPr>
          <w:rFonts w:ascii="Times New Roman" w:hAnsi="Times New Roman"/>
          <w:bCs/>
          <w:sz w:val="24"/>
          <w:szCs w:val="24"/>
          <w:lang w:val="uk-UA"/>
        </w:rPr>
        <w:t>:</w:t>
      </w:r>
    </w:p>
    <w:p w:rsidR="001E764E" w:rsidRPr="00544E0C" w:rsidRDefault="001E764E" w:rsidP="001E764E">
      <w:pPr>
        <w:jc w:val="both"/>
        <w:rPr>
          <w:rFonts w:ascii="Times New Roman" w:hAnsi="Times New Roman"/>
          <w:bCs/>
          <w:sz w:val="24"/>
          <w:szCs w:val="24"/>
          <w:lang w:val="uk-UA"/>
        </w:rPr>
      </w:pPr>
      <w:r w:rsidRPr="00544E0C">
        <w:rPr>
          <w:rFonts w:ascii="Times New Roman" w:hAnsi="Times New Roman"/>
          <w:bCs/>
          <w:sz w:val="24"/>
          <w:szCs w:val="24"/>
          <w:lang w:val="uk-UA"/>
        </w:rPr>
        <w:t xml:space="preserve">             2.1.</w:t>
      </w:r>
      <w:r w:rsidRPr="00544E0C">
        <w:rPr>
          <w:sz w:val="24"/>
          <w:szCs w:val="24"/>
          <w:lang w:val="uk-UA"/>
        </w:rPr>
        <w:t xml:space="preserve"> </w:t>
      </w:r>
      <w:r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обладнання та матеріально-технічної бази, необхідних для виконання договору</w:t>
      </w:r>
      <w:r>
        <w:rPr>
          <w:rFonts w:ascii="Times New Roman" w:hAnsi="Times New Roman"/>
          <w:bCs/>
          <w:sz w:val="24"/>
          <w:szCs w:val="24"/>
          <w:lang w:val="uk-UA"/>
        </w:rPr>
        <w:t>, що є предметом цієї закупівлі.</w:t>
      </w:r>
    </w:p>
    <w:p w:rsidR="001E764E" w:rsidRPr="00544E0C" w:rsidRDefault="001E764E" w:rsidP="001E764E">
      <w:pPr>
        <w:jc w:val="both"/>
        <w:rPr>
          <w:rFonts w:ascii="Times New Roman" w:hAnsi="Times New Roman"/>
          <w:b/>
          <w:bCs/>
          <w:sz w:val="24"/>
          <w:szCs w:val="24"/>
          <w:lang w:val="uk-UA"/>
        </w:rPr>
      </w:pPr>
      <w:r w:rsidRPr="00544E0C">
        <w:rPr>
          <w:rFonts w:ascii="Times New Roman" w:hAnsi="Times New Roman"/>
          <w:b/>
          <w:bCs/>
          <w:sz w:val="24"/>
          <w:szCs w:val="24"/>
          <w:lang w:val="uk-UA"/>
        </w:rPr>
        <w:t xml:space="preserve">             3. Наявність в учасника процедури закупівлі працівників відповідної кваліфікації, які мають необхідні знання та досвід:</w:t>
      </w:r>
    </w:p>
    <w:p w:rsidR="001E764E" w:rsidRPr="00544E0C" w:rsidRDefault="001E764E" w:rsidP="001E764E">
      <w:pPr>
        <w:jc w:val="both"/>
        <w:rPr>
          <w:rFonts w:ascii="Times New Roman" w:hAnsi="Times New Roman"/>
          <w:bCs/>
          <w:sz w:val="24"/>
          <w:szCs w:val="24"/>
          <w:lang w:val="uk-UA"/>
        </w:rPr>
      </w:pPr>
      <w:r w:rsidRPr="00544E0C">
        <w:rPr>
          <w:rFonts w:ascii="Times New Roman" w:hAnsi="Times New Roman"/>
          <w:bCs/>
          <w:sz w:val="24"/>
          <w:szCs w:val="24"/>
          <w:lang w:val="uk-UA"/>
        </w:rPr>
        <w:t xml:space="preserve">             3.1.</w:t>
      </w:r>
      <w:r w:rsidRPr="00544E0C">
        <w:rPr>
          <w:sz w:val="24"/>
          <w:szCs w:val="24"/>
          <w:lang w:val="uk-UA"/>
        </w:rPr>
        <w:t xml:space="preserve"> </w:t>
      </w:r>
      <w:r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працівників відповідної кваліфікації, які мають необхідні знання та досвід щодо вик</w:t>
      </w:r>
      <w:r>
        <w:rPr>
          <w:rFonts w:ascii="Times New Roman" w:hAnsi="Times New Roman"/>
          <w:bCs/>
          <w:sz w:val="24"/>
          <w:szCs w:val="24"/>
          <w:lang w:val="uk-UA"/>
        </w:rPr>
        <w:t>онання договору</w:t>
      </w:r>
      <w:r w:rsidRPr="00544E0C">
        <w:rPr>
          <w:rFonts w:ascii="Times New Roman" w:hAnsi="Times New Roman"/>
          <w:bCs/>
          <w:sz w:val="24"/>
          <w:szCs w:val="24"/>
          <w:lang w:val="uk-UA"/>
        </w:rPr>
        <w:t>, що є предметом цієї закупівлі.</w:t>
      </w:r>
    </w:p>
    <w:p w:rsidR="003E1BAB" w:rsidRPr="001E764E" w:rsidRDefault="003E1BAB">
      <w:pPr>
        <w:rPr>
          <w:lang w:val="uk-UA"/>
        </w:rPr>
      </w:pPr>
    </w:p>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652E8E" w:rsidRDefault="00652E8E" w:rsidP="001259D3">
      <w:pPr>
        <w:pStyle w:val="1"/>
        <w:jc w:val="center"/>
        <w:textAlignment w:val="baseline"/>
        <w:rPr>
          <w:rFonts w:ascii="Times New Roman" w:hAnsi="Times New Roman"/>
          <w:b w:val="0"/>
          <w:sz w:val="24"/>
          <w:szCs w:val="24"/>
        </w:rPr>
      </w:pPr>
      <w:r w:rsidRPr="00256D50">
        <w:rPr>
          <w:rFonts w:ascii="Times New Roman" w:hAnsi="Times New Roman"/>
          <w:b w:val="0"/>
          <w:sz w:val="24"/>
          <w:szCs w:val="24"/>
        </w:rPr>
        <w:t xml:space="preserve">Предмет закупівлі: </w:t>
      </w:r>
      <w:r w:rsidR="001259D3" w:rsidRPr="001259D3">
        <w:rPr>
          <w:rFonts w:ascii="Times New Roman" w:hAnsi="Times New Roman"/>
          <w:b w:val="0"/>
          <w:sz w:val="24"/>
          <w:szCs w:val="24"/>
        </w:rPr>
        <w:t>код ДК 021:2015 – 42510000-4 Теплообмінники, кондиціонери повітря, холодильне обладнання та фільтрувальні пристрої (кондиціонери)</w:t>
      </w:r>
    </w:p>
    <w:p w:rsidR="001259D3" w:rsidRPr="001259D3" w:rsidRDefault="001259D3" w:rsidP="001259D3"/>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6812"/>
        <w:gridCol w:w="1276"/>
        <w:gridCol w:w="1134"/>
      </w:tblGrid>
      <w:tr w:rsidR="00652E8E" w:rsidRPr="00256D50" w:rsidTr="001259D3">
        <w:trPr>
          <w:trHeight w:val="614"/>
        </w:trPr>
        <w:tc>
          <w:tcPr>
            <w:tcW w:w="696" w:type="dxa"/>
          </w:tcPr>
          <w:p w:rsidR="00652E8E" w:rsidRPr="00256D50" w:rsidRDefault="00652E8E" w:rsidP="00652E8E">
            <w:pPr>
              <w:spacing w:line="240" w:lineRule="auto"/>
              <w:jc w:val="both"/>
              <w:rPr>
                <w:rFonts w:ascii="Times New Roman" w:eastAsia="Times New Roman" w:hAnsi="Times New Roman"/>
                <w:b/>
                <w:sz w:val="24"/>
                <w:szCs w:val="24"/>
              </w:rPr>
            </w:pPr>
            <w:r w:rsidRPr="00256D50">
              <w:rPr>
                <w:rFonts w:ascii="Times New Roman" w:eastAsia="Times New Roman" w:hAnsi="Times New Roman"/>
                <w:b/>
                <w:sz w:val="24"/>
                <w:szCs w:val="24"/>
              </w:rPr>
              <w:t>№ з/п</w:t>
            </w:r>
          </w:p>
        </w:tc>
        <w:tc>
          <w:tcPr>
            <w:tcW w:w="6812" w:type="dxa"/>
          </w:tcPr>
          <w:p w:rsidR="00652E8E" w:rsidRPr="00256D50" w:rsidRDefault="00652E8E" w:rsidP="00652E8E">
            <w:pPr>
              <w:spacing w:line="240" w:lineRule="auto"/>
              <w:jc w:val="center"/>
              <w:rPr>
                <w:rFonts w:ascii="Times New Roman" w:eastAsia="Times New Roman" w:hAnsi="Times New Roman"/>
                <w:b/>
                <w:sz w:val="24"/>
                <w:szCs w:val="24"/>
              </w:rPr>
            </w:pPr>
            <w:r w:rsidRPr="00256D50">
              <w:rPr>
                <w:rFonts w:ascii="Times New Roman" w:eastAsia="Times New Roman" w:hAnsi="Times New Roman"/>
                <w:b/>
                <w:sz w:val="24"/>
                <w:szCs w:val="24"/>
              </w:rPr>
              <w:t>Найменування товару</w:t>
            </w:r>
          </w:p>
        </w:tc>
        <w:tc>
          <w:tcPr>
            <w:tcW w:w="1276" w:type="dxa"/>
          </w:tcPr>
          <w:p w:rsidR="00652E8E" w:rsidRPr="00256D50" w:rsidRDefault="00652E8E" w:rsidP="00652E8E">
            <w:pPr>
              <w:spacing w:line="240" w:lineRule="auto"/>
              <w:jc w:val="center"/>
              <w:rPr>
                <w:rFonts w:ascii="Times New Roman" w:eastAsia="Times New Roman" w:hAnsi="Times New Roman"/>
                <w:b/>
                <w:sz w:val="24"/>
                <w:szCs w:val="24"/>
              </w:rPr>
            </w:pPr>
            <w:r w:rsidRPr="00256D50">
              <w:rPr>
                <w:rFonts w:ascii="Times New Roman" w:eastAsia="Times New Roman" w:hAnsi="Times New Roman"/>
                <w:b/>
                <w:sz w:val="24"/>
                <w:szCs w:val="24"/>
              </w:rPr>
              <w:t>Кількість</w:t>
            </w:r>
          </w:p>
        </w:tc>
        <w:tc>
          <w:tcPr>
            <w:tcW w:w="1134" w:type="dxa"/>
          </w:tcPr>
          <w:p w:rsidR="00652E8E" w:rsidRPr="00256D50" w:rsidRDefault="00652E8E" w:rsidP="00652E8E">
            <w:pPr>
              <w:spacing w:line="240" w:lineRule="auto"/>
              <w:jc w:val="center"/>
              <w:rPr>
                <w:rFonts w:ascii="Times New Roman" w:eastAsia="Times New Roman" w:hAnsi="Times New Roman"/>
                <w:b/>
                <w:sz w:val="24"/>
                <w:szCs w:val="24"/>
              </w:rPr>
            </w:pPr>
            <w:r w:rsidRPr="00256D50">
              <w:rPr>
                <w:rFonts w:ascii="Times New Roman" w:eastAsia="Times New Roman" w:hAnsi="Times New Roman"/>
                <w:b/>
                <w:sz w:val="24"/>
                <w:szCs w:val="24"/>
              </w:rPr>
              <w:t>Од. виміру</w:t>
            </w:r>
          </w:p>
        </w:tc>
      </w:tr>
      <w:tr w:rsidR="00652E8E" w:rsidRPr="00256D50" w:rsidTr="001259D3">
        <w:trPr>
          <w:trHeight w:val="251"/>
        </w:trPr>
        <w:tc>
          <w:tcPr>
            <w:tcW w:w="696" w:type="dxa"/>
            <w:vAlign w:val="bottom"/>
          </w:tcPr>
          <w:p w:rsidR="00652E8E" w:rsidRPr="00256D50" w:rsidRDefault="00652E8E" w:rsidP="00652E8E">
            <w:pPr>
              <w:spacing w:line="240" w:lineRule="auto"/>
              <w:rPr>
                <w:rFonts w:ascii="Times New Roman" w:hAnsi="Times New Roman"/>
                <w:sz w:val="24"/>
                <w:szCs w:val="24"/>
              </w:rPr>
            </w:pPr>
            <w:r w:rsidRPr="00256D50">
              <w:rPr>
                <w:rFonts w:ascii="Times New Roman" w:hAnsi="Times New Roman"/>
                <w:sz w:val="24"/>
                <w:szCs w:val="24"/>
              </w:rPr>
              <w:t>1</w:t>
            </w:r>
          </w:p>
        </w:tc>
        <w:tc>
          <w:tcPr>
            <w:tcW w:w="6812" w:type="dxa"/>
            <w:vAlign w:val="bottom"/>
          </w:tcPr>
          <w:p w:rsidR="00652E8E" w:rsidRPr="00256D50" w:rsidRDefault="00652E8E" w:rsidP="00652E8E">
            <w:pPr>
              <w:pStyle w:val="3"/>
              <w:shd w:val="clear" w:color="auto" w:fill="FFFFFF"/>
              <w:spacing w:before="0" w:after="0" w:line="240" w:lineRule="auto"/>
              <w:textAlignment w:val="baseline"/>
              <w:rPr>
                <w:rFonts w:ascii="Times New Roman" w:hAnsi="Times New Roman" w:cs="Times New Roman"/>
                <w:spacing w:val="8"/>
                <w:sz w:val="24"/>
                <w:szCs w:val="24"/>
                <w:lang w:val="en-US"/>
              </w:rPr>
            </w:pPr>
            <w:r w:rsidRPr="00256D50">
              <w:rPr>
                <w:rFonts w:ascii="Times New Roman" w:hAnsi="Times New Roman" w:cs="Times New Roman"/>
                <w:spacing w:val="8"/>
                <w:sz w:val="24"/>
                <w:szCs w:val="24"/>
              </w:rPr>
              <w:t xml:space="preserve">Кондиціонер </w:t>
            </w:r>
          </w:p>
        </w:tc>
        <w:tc>
          <w:tcPr>
            <w:tcW w:w="1276" w:type="dxa"/>
            <w:vAlign w:val="center"/>
          </w:tcPr>
          <w:p w:rsidR="00652E8E" w:rsidRPr="00256D50" w:rsidRDefault="00652E8E" w:rsidP="00652E8E">
            <w:pPr>
              <w:spacing w:line="240" w:lineRule="auto"/>
              <w:rPr>
                <w:rFonts w:ascii="Times New Roman" w:hAnsi="Times New Roman"/>
                <w:sz w:val="24"/>
                <w:szCs w:val="24"/>
              </w:rPr>
            </w:pPr>
            <w:r>
              <w:rPr>
                <w:rFonts w:ascii="Times New Roman" w:hAnsi="Times New Roman"/>
                <w:sz w:val="24"/>
                <w:szCs w:val="24"/>
              </w:rPr>
              <w:t>15</w:t>
            </w:r>
          </w:p>
        </w:tc>
        <w:tc>
          <w:tcPr>
            <w:tcW w:w="1134" w:type="dxa"/>
            <w:vAlign w:val="center"/>
          </w:tcPr>
          <w:p w:rsidR="00652E8E" w:rsidRPr="00256D50" w:rsidRDefault="00652E8E" w:rsidP="00652E8E">
            <w:pPr>
              <w:spacing w:line="240" w:lineRule="auto"/>
              <w:jc w:val="center"/>
              <w:rPr>
                <w:rFonts w:ascii="Times New Roman" w:hAnsi="Times New Roman"/>
                <w:sz w:val="24"/>
                <w:szCs w:val="24"/>
                <w:lang w:val="en-US"/>
              </w:rPr>
            </w:pPr>
            <w:r w:rsidRPr="00256D50">
              <w:rPr>
                <w:rFonts w:ascii="Times New Roman" w:hAnsi="Times New Roman"/>
                <w:sz w:val="24"/>
                <w:szCs w:val="24"/>
              </w:rPr>
              <w:t>шт.</w:t>
            </w:r>
          </w:p>
        </w:tc>
      </w:tr>
    </w:tbl>
    <w:p w:rsidR="00652E8E" w:rsidRPr="00256D50" w:rsidRDefault="00652E8E" w:rsidP="00652E8E">
      <w:pPr>
        <w:spacing w:line="240" w:lineRule="auto"/>
        <w:jc w:val="both"/>
        <w:rPr>
          <w:rFonts w:ascii="Times New Roman" w:eastAsia="Times New Roman" w:hAnsi="Times New Roman"/>
          <w:b/>
          <w:sz w:val="24"/>
          <w:szCs w:val="24"/>
        </w:rPr>
      </w:pPr>
    </w:p>
    <w:p w:rsidR="00652E8E" w:rsidRPr="00256D50" w:rsidRDefault="00652E8E" w:rsidP="00652E8E">
      <w:pPr>
        <w:spacing w:line="240" w:lineRule="auto"/>
        <w:jc w:val="both"/>
        <w:rPr>
          <w:rFonts w:ascii="Times New Roman" w:eastAsia="Times New Roman" w:hAnsi="Times New Roman"/>
          <w:b/>
          <w:sz w:val="24"/>
          <w:szCs w:val="24"/>
        </w:rPr>
      </w:pPr>
      <w:r w:rsidRPr="00256D50">
        <w:rPr>
          <w:rFonts w:ascii="Times New Roman" w:eastAsia="Times New Roman" w:hAnsi="Times New Roman"/>
          <w:b/>
          <w:sz w:val="24"/>
          <w:szCs w:val="24"/>
        </w:rPr>
        <w:t>Основні функції:</w:t>
      </w:r>
    </w:p>
    <w:tbl>
      <w:tblPr>
        <w:tblW w:w="10001" w:type="dxa"/>
        <w:tblInd w:w="2" w:type="dxa"/>
        <w:tblLayout w:type="fixed"/>
        <w:tblLook w:val="0600" w:firstRow="0" w:lastRow="0" w:firstColumn="0" w:lastColumn="0" w:noHBand="1" w:noVBand="1"/>
      </w:tblPr>
      <w:tblGrid>
        <w:gridCol w:w="7500"/>
        <w:gridCol w:w="2501"/>
      </w:tblGrid>
      <w:tr w:rsidR="00652E8E" w:rsidRPr="00256D50" w:rsidTr="00652E8E">
        <w:trPr>
          <w:trHeight w:val="383"/>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jc w:val="both"/>
              <w:rPr>
                <w:rFonts w:ascii="Times New Roman" w:eastAsia="Times New Roman" w:hAnsi="Times New Roman"/>
                <w:sz w:val="24"/>
                <w:szCs w:val="24"/>
              </w:rPr>
            </w:pPr>
            <w:r w:rsidRPr="00256D50">
              <w:rPr>
                <w:rFonts w:ascii="Times New Roman" w:eastAsia="Times New Roman" w:hAnsi="Times New Roman"/>
                <w:sz w:val="24"/>
                <w:szCs w:val="24"/>
              </w:rPr>
              <w:t>Фільтрування</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377"/>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Охолодження</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57"/>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Осушення повітря</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312"/>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Обігрів</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99"/>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Вентиляція</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48"/>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Іонізація</w:t>
            </w:r>
          </w:p>
        </w:tc>
        <w:tc>
          <w:tcPr>
            <w:tcW w:w="2501"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bl>
    <w:p w:rsidR="00652E8E" w:rsidRPr="00256D50" w:rsidRDefault="00652E8E" w:rsidP="00652E8E">
      <w:pPr>
        <w:shd w:val="clear" w:color="auto" w:fill="FFFFFF"/>
        <w:spacing w:line="240" w:lineRule="auto"/>
        <w:jc w:val="both"/>
        <w:rPr>
          <w:rFonts w:ascii="Times New Roman" w:eastAsia="Times New Roman" w:hAnsi="Times New Roman"/>
          <w:sz w:val="24"/>
          <w:szCs w:val="24"/>
        </w:rPr>
      </w:pPr>
    </w:p>
    <w:p w:rsidR="00652E8E" w:rsidRPr="00256D50" w:rsidRDefault="00652E8E" w:rsidP="00652E8E">
      <w:pPr>
        <w:shd w:val="clear" w:color="auto" w:fill="FFFFFF"/>
        <w:spacing w:line="240" w:lineRule="auto"/>
        <w:jc w:val="both"/>
        <w:rPr>
          <w:rFonts w:ascii="Times New Roman" w:eastAsia="Times New Roman" w:hAnsi="Times New Roman"/>
          <w:b/>
          <w:sz w:val="24"/>
          <w:szCs w:val="24"/>
        </w:rPr>
      </w:pPr>
      <w:r w:rsidRPr="00256D50">
        <w:rPr>
          <w:rFonts w:ascii="Times New Roman" w:eastAsia="Times New Roman" w:hAnsi="Times New Roman"/>
          <w:b/>
          <w:sz w:val="24"/>
          <w:szCs w:val="24"/>
        </w:rPr>
        <w:t>Основні характеристики:</w:t>
      </w:r>
    </w:p>
    <w:tbl>
      <w:tblPr>
        <w:tblW w:w="9913" w:type="dxa"/>
        <w:tblInd w:w="2" w:type="dxa"/>
        <w:tblLayout w:type="fixed"/>
        <w:tblLook w:val="0600" w:firstRow="0" w:lastRow="0" w:firstColumn="0" w:lastColumn="0" w:noHBand="1" w:noVBand="1"/>
      </w:tblPr>
      <w:tblGrid>
        <w:gridCol w:w="7500"/>
        <w:gridCol w:w="2413"/>
      </w:tblGrid>
      <w:tr w:rsidR="00652E8E" w:rsidRPr="00256D50" w:rsidTr="001259D3">
        <w:trPr>
          <w:trHeight w:val="376"/>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jc w:val="both"/>
              <w:rPr>
                <w:rFonts w:ascii="Times New Roman" w:eastAsia="Times New Roman" w:hAnsi="Times New Roman"/>
                <w:sz w:val="24"/>
                <w:szCs w:val="24"/>
              </w:rPr>
            </w:pPr>
            <w:r w:rsidRPr="00256D50">
              <w:rPr>
                <w:rFonts w:ascii="Times New Roman" w:eastAsia="Times New Roman" w:hAnsi="Times New Roman"/>
                <w:sz w:val="24"/>
                <w:szCs w:val="24"/>
              </w:rPr>
              <w:t>Тип фреону (холодоагент)</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R32</w:t>
            </w:r>
          </w:p>
        </w:tc>
      </w:tr>
      <w:tr w:rsidR="00652E8E" w:rsidRPr="00256D50" w:rsidTr="001259D3">
        <w:trPr>
          <w:trHeight w:val="540"/>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Споживана потужність, кВт</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Холод: 0,68 (0,10-0,98) / Тепло: 0,65 (0,10-1,23)</w:t>
            </w:r>
          </w:p>
        </w:tc>
      </w:tr>
      <w:tr w:rsidR="00652E8E" w:rsidRPr="00256D50" w:rsidTr="001259D3">
        <w:trPr>
          <w:trHeight w:val="366"/>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Сезонний коефіцієнт продуктивності SEER (охолодження)</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5,1 (А)</w:t>
            </w:r>
          </w:p>
        </w:tc>
      </w:tr>
      <w:tr w:rsidR="00652E8E" w:rsidRPr="00256D50" w:rsidTr="001259D3">
        <w:trPr>
          <w:trHeight w:val="246"/>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Сезонний коефіцієнт продуктивності SCOP (обігрів)</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3,8 (А)</w:t>
            </w:r>
          </w:p>
        </w:tc>
      </w:tr>
      <w:tr w:rsidR="00652E8E" w:rsidRPr="00256D50" w:rsidTr="001259D3">
        <w:trPr>
          <w:trHeight w:val="366"/>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Рівень шуму внутрішнього блоку Дб - min/max</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20/22/25/29/38</w:t>
            </w:r>
          </w:p>
        </w:tc>
      </w:tr>
      <w:tr w:rsidR="00652E8E" w:rsidRPr="00256D50" w:rsidTr="001259D3">
        <w:trPr>
          <w:trHeight w:val="247"/>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Розміри зовнішнього блоку, мм</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720х428х310</w:t>
            </w:r>
          </w:p>
        </w:tc>
      </w:tr>
      <w:tr w:rsidR="00652E8E" w:rsidRPr="00256D50" w:rsidTr="001259D3">
        <w:trPr>
          <w:trHeight w:val="367"/>
        </w:trPr>
        <w:tc>
          <w:tcPr>
            <w:tcW w:w="7500" w:type="dxa"/>
            <w:tcBorders>
              <w:top w:val="single" w:sz="6" w:space="0" w:color="00000A"/>
              <w:left w:val="single" w:sz="6" w:space="0" w:color="00000A"/>
              <w:bottom w:val="single" w:sz="4" w:space="0" w:color="auto"/>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Розміри внутрішнього блоку, мм</w:t>
            </w:r>
          </w:p>
        </w:tc>
        <w:tc>
          <w:tcPr>
            <w:tcW w:w="2413" w:type="dxa"/>
            <w:tcBorders>
              <w:top w:val="single" w:sz="6" w:space="0" w:color="00000A"/>
              <w:left w:val="single" w:sz="6" w:space="0" w:color="00000A"/>
              <w:bottom w:val="single" w:sz="4" w:space="0" w:color="auto"/>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713х270х195</w:t>
            </w:r>
          </w:p>
        </w:tc>
      </w:tr>
      <w:tr w:rsidR="00652E8E" w:rsidRPr="00256D50" w:rsidTr="001259D3">
        <w:trPr>
          <w:trHeight w:val="402"/>
        </w:trPr>
        <w:tc>
          <w:tcPr>
            <w:tcW w:w="7500" w:type="dxa"/>
            <w:tcBorders>
              <w:top w:val="single" w:sz="4" w:space="0" w:color="auto"/>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Розмір приміщення, м</w:t>
            </w:r>
            <w:r w:rsidRPr="00256D50">
              <w:rPr>
                <w:rFonts w:ascii="Times New Roman" w:eastAsia="Times New Roman" w:hAnsi="Times New Roman"/>
                <w:sz w:val="24"/>
                <w:szCs w:val="24"/>
                <w:vertAlign w:val="superscript"/>
              </w:rPr>
              <w:t>2</w:t>
            </w:r>
          </w:p>
        </w:tc>
        <w:tc>
          <w:tcPr>
            <w:tcW w:w="2413" w:type="dxa"/>
            <w:tcBorders>
              <w:top w:val="single" w:sz="4" w:space="0" w:color="auto"/>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20</w:t>
            </w:r>
          </w:p>
        </w:tc>
      </w:tr>
      <w:tr w:rsidR="00652E8E" w:rsidRPr="00256D50" w:rsidTr="001259D3">
        <w:trPr>
          <w:trHeight w:val="397"/>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Продуктивність охолодження, кВт</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2,35 (0,37-2,53)</w:t>
            </w:r>
          </w:p>
        </w:tc>
      </w:tr>
      <w:tr w:rsidR="00652E8E" w:rsidRPr="00256D50" w:rsidTr="001259D3">
        <w:trPr>
          <w:trHeight w:val="363"/>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Продуктивність обігріву, кВт</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2,50 (0,51-2,60)</w:t>
            </w:r>
          </w:p>
        </w:tc>
      </w:tr>
      <w:tr w:rsidR="00652E8E" w:rsidRPr="00256D50" w:rsidTr="001259D3">
        <w:trPr>
          <w:trHeight w:val="271"/>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Напруга, В/Гц/Ф</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 220-240В/50Гц/1Ф</w:t>
            </w:r>
          </w:p>
        </w:tc>
      </w:tr>
      <w:tr w:rsidR="00652E8E" w:rsidRPr="00256D50" w:rsidTr="001259D3">
        <w:trPr>
          <w:trHeight w:val="249"/>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Колір</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Білий</w:t>
            </w:r>
          </w:p>
        </w:tc>
      </w:tr>
      <w:tr w:rsidR="00652E8E" w:rsidRPr="00256D50" w:rsidTr="001259D3">
        <w:trPr>
          <w:trHeight w:val="320"/>
        </w:trPr>
        <w:tc>
          <w:tcPr>
            <w:tcW w:w="7500"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Повітряпродуктивність, м</w:t>
            </w:r>
            <w:r w:rsidRPr="00256D50">
              <w:rPr>
                <w:rFonts w:ascii="Times New Roman" w:eastAsia="Times New Roman" w:hAnsi="Times New Roman"/>
                <w:sz w:val="24"/>
                <w:szCs w:val="24"/>
                <w:vertAlign w:val="superscript"/>
              </w:rPr>
              <w:t>3</w:t>
            </w:r>
            <w:r w:rsidRPr="00256D50">
              <w:rPr>
                <w:rFonts w:ascii="Times New Roman" w:eastAsia="Times New Roman" w:hAnsi="Times New Roman"/>
                <w:sz w:val="24"/>
                <w:szCs w:val="24"/>
              </w:rPr>
              <w:t>/год</w:t>
            </w:r>
          </w:p>
        </w:tc>
        <w:tc>
          <w:tcPr>
            <w:tcW w:w="2413"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300/390/420/500</w:t>
            </w:r>
          </w:p>
        </w:tc>
      </w:tr>
    </w:tbl>
    <w:p w:rsidR="00652E8E" w:rsidRPr="00256D50" w:rsidRDefault="00652E8E" w:rsidP="00652E8E">
      <w:pPr>
        <w:shd w:val="clear" w:color="auto" w:fill="FFFFFF"/>
        <w:spacing w:line="240" w:lineRule="auto"/>
        <w:jc w:val="both"/>
        <w:rPr>
          <w:rFonts w:ascii="Times New Roman" w:eastAsia="Times New Roman" w:hAnsi="Times New Roman"/>
          <w:sz w:val="24"/>
          <w:szCs w:val="24"/>
        </w:rPr>
      </w:pPr>
    </w:p>
    <w:p w:rsidR="00652E8E" w:rsidRPr="00256D50" w:rsidRDefault="00652E8E" w:rsidP="00652E8E">
      <w:pPr>
        <w:shd w:val="clear" w:color="auto" w:fill="FFFFFF"/>
        <w:spacing w:line="240" w:lineRule="auto"/>
        <w:jc w:val="both"/>
        <w:rPr>
          <w:rFonts w:ascii="Times New Roman" w:eastAsia="Times New Roman" w:hAnsi="Times New Roman"/>
          <w:b/>
          <w:sz w:val="24"/>
          <w:szCs w:val="24"/>
        </w:rPr>
      </w:pPr>
      <w:r w:rsidRPr="00256D50">
        <w:rPr>
          <w:rFonts w:ascii="Times New Roman" w:eastAsia="Times New Roman" w:hAnsi="Times New Roman"/>
          <w:b/>
          <w:sz w:val="24"/>
          <w:szCs w:val="24"/>
        </w:rPr>
        <w:t>Додаткові характеристики:</w:t>
      </w:r>
    </w:p>
    <w:tbl>
      <w:tblPr>
        <w:tblW w:w="10001" w:type="dxa"/>
        <w:tblInd w:w="2" w:type="dxa"/>
        <w:tblLayout w:type="fixed"/>
        <w:tblLook w:val="0600" w:firstRow="0" w:lastRow="0" w:firstColumn="0" w:lastColumn="0" w:noHBand="1" w:noVBand="1"/>
      </w:tblPr>
      <w:tblGrid>
        <w:gridCol w:w="7485"/>
        <w:gridCol w:w="2516"/>
      </w:tblGrid>
      <w:tr w:rsidR="00652E8E" w:rsidRPr="00256D50" w:rsidTr="00652E8E">
        <w:trPr>
          <w:trHeight w:val="356"/>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jc w:val="both"/>
              <w:rPr>
                <w:rFonts w:ascii="Times New Roman" w:eastAsia="Times New Roman" w:hAnsi="Times New Roman"/>
                <w:sz w:val="24"/>
                <w:szCs w:val="24"/>
              </w:rPr>
            </w:pPr>
            <w:r w:rsidRPr="00256D50">
              <w:rPr>
                <w:rFonts w:ascii="Times New Roman" w:eastAsia="Times New Roman" w:hAnsi="Times New Roman"/>
                <w:sz w:val="24"/>
                <w:szCs w:val="24"/>
              </w:rPr>
              <w:lastRenderedPageBreak/>
              <w:t>Автоматичне очищення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35"/>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Діапазон зовнішніх температур на обігрів</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от -25°С до +24°С</w:t>
            </w:r>
          </w:p>
        </w:tc>
      </w:tr>
      <w:tr w:rsidR="00652E8E" w:rsidRPr="00256D50" w:rsidTr="00652E8E">
        <w:trPr>
          <w:trHeight w:val="213"/>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Діапазон зовнішніх температур на охолодження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от -25°С до +48°С</w:t>
            </w:r>
          </w:p>
        </w:tc>
      </w:tr>
      <w:tr w:rsidR="00652E8E" w:rsidRPr="00256D50" w:rsidTr="00652E8E">
        <w:trPr>
          <w:trHeight w:val="19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Інверторне керування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31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Адаптація до низької температури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47"/>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Автоматичний перезапуск</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1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Самодіагностика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33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Таймер увімкнення-вимкнення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53"/>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Авторозморожування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23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Пульт ДУ</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так</w:t>
            </w:r>
          </w:p>
        </w:tc>
      </w:tr>
      <w:tr w:rsidR="00652E8E" w:rsidRPr="00256D50" w:rsidTr="00652E8E">
        <w:trPr>
          <w:trHeight w:val="35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Офіційна гарантія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не менше 2 років</w:t>
            </w:r>
          </w:p>
        </w:tc>
      </w:tr>
      <w:tr w:rsidR="00652E8E" w:rsidRPr="00256D50" w:rsidTr="00652E8E">
        <w:trPr>
          <w:trHeight w:val="23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Відстань між болтами кріплення зовнішнього блоку</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не більше 500 мм</w:t>
            </w:r>
          </w:p>
        </w:tc>
      </w:tr>
      <w:tr w:rsidR="00652E8E" w:rsidRPr="00256D50" w:rsidTr="00652E8E">
        <w:trPr>
          <w:trHeight w:val="351"/>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Максимальна довжина магістралі, 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15</w:t>
            </w:r>
          </w:p>
        </w:tc>
      </w:tr>
      <w:tr w:rsidR="00652E8E" w:rsidRPr="00256D50" w:rsidTr="00652E8E">
        <w:trPr>
          <w:trHeight w:val="259"/>
        </w:trPr>
        <w:tc>
          <w:tcPr>
            <w:tcW w:w="7485"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Максимальний перепад висоти, 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652E8E" w:rsidRPr="00256D50" w:rsidRDefault="00652E8E" w:rsidP="00652E8E">
            <w:pPr>
              <w:spacing w:line="240" w:lineRule="auto"/>
              <w:rPr>
                <w:rFonts w:ascii="Times New Roman" w:eastAsia="Times New Roman" w:hAnsi="Times New Roman"/>
                <w:sz w:val="24"/>
                <w:szCs w:val="24"/>
              </w:rPr>
            </w:pPr>
            <w:r w:rsidRPr="00256D50">
              <w:rPr>
                <w:rFonts w:ascii="Times New Roman" w:eastAsia="Times New Roman" w:hAnsi="Times New Roman"/>
                <w:sz w:val="24"/>
                <w:szCs w:val="24"/>
              </w:rPr>
              <w:t>10</w:t>
            </w:r>
          </w:p>
        </w:tc>
      </w:tr>
    </w:tbl>
    <w:p w:rsidR="00652E8E" w:rsidRPr="00256D50" w:rsidRDefault="00652E8E" w:rsidP="00652E8E">
      <w:pPr>
        <w:shd w:val="clear" w:color="auto" w:fill="FFFFFF"/>
        <w:spacing w:line="240" w:lineRule="auto"/>
        <w:jc w:val="both"/>
        <w:rPr>
          <w:rFonts w:ascii="Times New Roman" w:hAnsi="Times New Roman"/>
          <w:b/>
          <w:sz w:val="24"/>
          <w:szCs w:val="24"/>
        </w:rPr>
      </w:pPr>
    </w:p>
    <w:p w:rsidR="00652E8E" w:rsidRPr="00256D50" w:rsidRDefault="00652E8E" w:rsidP="00652E8E">
      <w:pPr>
        <w:shd w:val="clear" w:color="auto" w:fill="FFFFFF"/>
        <w:spacing w:line="240" w:lineRule="auto"/>
        <w:ind w:firstLine="708"/>
        <w:jc w:val="both"/>
        <w:rPr>
          <w:rFonts w:ascii="Times New Roman" w:hAnsi="Times New Roman"/>
          <w:sz w:val="24"/>
          <w:szCs w:val="24"/>
        </w:rPr>
      </w:pPr>
      <w:r w:rsidRPr="00256D50">
        <w:rPr>
          <w:rFonts w:ascii="Times New Roman" w:hAnsi="Times New Roman"/>
          <w:sz w:val="24"/>
          <w:szCs w:val="24"/>
        </w:rPr>
        <w:t>У вартість</w:t>
      </w:r>
      <w:r>
        <w:rPr>
          <w:rFonts w:ascii="Times New Roman" w:hAnsi="Times New Roman"/>
          <w:sz w:val="24"/>
          <w:szCs w:val="24"/>
          <w:lang w:val="uk-UA"/>
        </w:rPr>
        <w:t xml:space="preserve"> повинні бути</w:t>
      </w:r>
      <w:r w:rsidRPr="00256D50">
        <w:rPr>
          <w:rFonts w:ascii="Times New Roman" w:hAnsi="Times New Roman"/>
          <w:sz w:val="24"/>
          <w:szCs w:val="24"/>
        </w:rPr>
        <w:t xml:space="preserve"> закладені слідуючи матеріали та послуги: кондиціонер, монтаж кондиціонера, труби фреонові мідні 1/4, 3,8 (5-8 м.пог.); теплоізоляція труб; дренаж гнучкий; дренаж жорсткий; кабель електричний між блочний 5*1,5, кабель електричний 3*1.5, короб канал 60*60, короб канал 15*15, кронштейни, ізолента, лента вініл, хладогент R410. Підключення до електричних</w:t>
      </w:r>
      <w:r>
        <w:rPr>
          <w:rFonts w:ascii="Times New Roman" w:hAnsi="Times New Roman"/>
          <w:sz w:val="24"/>
          <w:szCs w:val="24"/>
          <w:lang w:val="uk-UA"/>
        </w:rPr>
        <w:t xml:space="preserve"> мереж </w:t>
      </w:r>
      <w:r w:rsidRPr="00256D50">
        <w:rPr>
          <w:rFonts w:ascii="Times New Roman" w:hAnsi="Times New Roman"/>
          <w:sz w:val="24"/>
          <w:szCs w:val="24"/>
        </w:rPr>
        <w:t xml:space="preserve"> за рахунок Учасника.</w:t>
      </w:r>
    </w:p>
    <w:p w:rsidR="00652E8E" w:rsidRPr="00256D50" w:rsidRDefault="00652E8E" w:rsidP="00652E8E">
      <w:pPr>
        <w:shd w:val="clear" w:color="auto" w:fill="FFFFFF"/>
        <w:spacing w:line="240" w:lineRule="auto"/>
        <w:jc w:val="both"/>
        <w:rPr>
          <w:rFonts w:ascii="Times New Roman" w:hAnsi="Times New Roman"/>
          <w:sz w:val="24"/>
          <w:szCs w:val="24"/>
        </w:rPr>
      </w:pPr>
      <w:r w:rsidRPr="00256D50">
        <w:rPr>
          <w:rFonts w:ascii="Times New Roman" w:hAnsi="Times New Roman"/>
          <w:sz w:val="24"/>
          <w:szCs w:val="24"/>
        </w:rPr>
        <w:t xml:space="preserve">          Монтаж здійснюється з використанням автовишки та будівельних підмостей.</w:t>
      </w:r>
    </w:p>
    <w:p w:rsidR="00652E8E" w:rsidRPr="00256D50" w:rsidRDefault="00652E8E" w:rsidP="00652E8E">
      <w:pPr>
        <w:shd w:val="clear" w:color="auto" w:fill="FFFFFF"/>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256D50">
        <w:rPr>
          <w:rFonts w:ascii="Times New Roman" w:hAnsi="Times New Roman"/>
          <w:sz w:val="24"/>
          <w:szCs w:val="24"/>
        </w:rPr>
        <w:t>Гарантійне обслуговування кондиціонеру – протягом 2 років з дати встановлення (надати лист-гарантію).</w:t>
      </w:r>
    </w:p>
    <w:p w:rsidR="00652E8E" w:rsidRPr="00256D50" w:rsidRDefault="00652E8E" w:rsidP="00652E8E">
      <w:pPr>
        <w:spacing w:line="240" w:lineRule="auto"/>
        <w:ind w:right="60"/>
        <w:jc w:val="both"/>
        <w:textAlignment w:val="baseline"/>
        <w:rPr>
          <w:rFonts w:ascii="Times New Roman" w:hAnsi="Times New Roman"/>
          <w:sz w:val="24"/>
          <w:szCs w:val="24"/>
        </w:rPr>
      </w:pPr>
      <w:r w:rsidRPr="00256D50">
        <w:rPr>
          <w:rFonts w:ascii="Times New Roman" w:hAnsi="Times New Roman"/>
          <w:sz w:val="24"/>
          <w:szCs w:val="24"/>
        </w:rPr>
        <w:t xml:space="preserve">          </w:t>
      </w:r>
    </w:p>
    <w:p w:rsidR="00652E8E" w:rsidRPr="00256D50" w:rsidRDefault="00652E8E" w:rsidP="00652E8E">
      <w:pPr>
        <w:spacing w:line="240" w:lineRule="auto"/>
        <w:jc w:val="both"/>
        <w:rPr>
          <w:rFonts w:ascii="Times New Roman" w:eastAsia="Times New Roman" w:hAnsi="Times New Roman" w:cs="Times New Roman"/>
          <w:b/>
          <w:sz w:val="24"/>
          <w:szCs w:val="24"/>
        </w:rPr>
      </w:pPr>
    </w:p>
    <w:p w:rsidR="00652E8E" w:rsidRPr="00256D50" w:rsidRDefault="00652E8E" w:rsidP="00652E8E">
      <w:pPr>
        <w:spacing w:line="240" w:lineRule="auto"/>
        <w:jc w:val="both"/>
        <w:rPr>
          <w:rFonts w:ascii="Times New Roman" w:hAnsi="Times New Roman"/>
          <w:b/>
          <w:sz w:val="24"/>
          <w:szCs w:val="24"/>
        </w:rPr>
      </w:pPr>
      <w:r w:rsidRPr="00256D50">
        <w:rPr>
          <w:rFonts w:ascii="Times New Roman" w:hAnsi="Times New Roman"/>
          <w:b/>
          <w:sz w:val="24"/>
          <w:szCs w:val="24"/>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rsidR="00FF01B9" w:rsidRPr="00973134" w:rsidRDefault="00FF01B9" w:rsidP="00FF01B9">
      <w:pPr>
        <w:tabs>
          <w:tab w:val="left" w:pos="0"/>
        </w:tabs>
        <w:spacing w:line="240" w:lineRule="auto"/>
        <w:jc w:val="both"/>
        <w:rPr>
          <w:rFonts w:ascii="Times New Roman" w:eastAsia="Times New Roman" w:hAnsi="Times New Roman"/>
          <w:bCs/>
          <w:sz w:val="24"/>
          <w:szCs w:val="24"/>
          <w:lang w:val="uk-UA"/>
        </w:rPr>
      </w:pPr>
      <w:r w:rsidRPr="00973134">
        <w:rPr>
          <w:rFonts w:ascii="Times New Roman" w:eastAsia="Times New Roman" w:hAnsi="Times New Roman"/>
          <w:bCs/>
          <w:sz w:val="24"/>
          <w:szCs w:val="24"/>
          <w:lang w:val="uk-UA"/>
        </w:rPr>
        <w:tab/>
        <w:t xml:space="preserve">                          </w:t>
      </w:r>
    </w:p>
    <w:p w:rsidR="00EB57BA" w:rsidRPr="00652E8E" w:rsidRDefault="00EB57BA" w:rsidP="00EB57BA">
      <w:pPr>
        <w:widowControl w:val="0"/>
        <w:ind w:firstLine="426"/>
        <w:jc w:val="both"/>
        <w:rPr>
          <w:rFonts w:ascii="Times New Roman" w:hAnsi="Times New Roman" w:cs="Times New Roman"/>
          <w:sz w:val="18"/>
          <w:szCs w:val="18"/>
        </w:rPr>
      </w:pPr>
      <w:r w:rsidRPr="00652E8E">
        <w:rPr>
          <w:rFonts w:ascii="Times New Roman" w:hAnsi="Times New Roman" w:cs="Times New Roman"/>
          <w:sz w:val="18"/>
          <w:szCs w:val="18"/>
          <w:lang w:val="uk-UA"/>
        </w:rPr>
        <w:t xml:space="preserve">*   У цій документації всі посилання на конкретні марку чи виробника або на конкретний процес, </w:t>
      </w:r>
      <w:r w:rsidRPr="00652E8E">
        <w:rPr>
          <w:rFonts w:ascii="Times New Roman" w:hAnsi="Times New Roman" w:cs="Times New Roman"/>
          <w:sz w:val="18"/>
          <w:szCs w:val="18"/>
        </w:rPr>
        <w:t>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Pr="00652E8E" w:rsidRDefault="00EB57BA" w:rsidP="00EB57BA">
      <w:pPr>
        <w:widowControl w:val="0"/>
        <w:ind w:firstLine="426"/>
        <w:jc w:val="both"/>
        <w:rPr>
          <w:rFonts w:ascii="Times New Roman" w:hAnsi="Times New Roman" w:cs="Times New Roman"/>
          <w:sz w:val="18"/>
          <w:szCs w:val="18"/>
        </w:rPr>
      </w:pPr>
      <w:r w:rsidRPr="00652E8E">
        <w:rPr>
          <w:rFonts w:ascii="Times New Roman" w:hAnsi="Times New Roman" w:cs="Times New Roman"/>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00B23E85">
        <w:rPr>
          <w:rFonts w:ascii="Times New Roman" w:eastAsia="Calibri" w:hAnsi="Times New Roman" w:cs="Times New Roman"/>
          <w:sz w:val="24"/>
          <w:szCs w:val="24"/>
          <w:lang w:val="uk-UA"/>
        </w:rPr>
        <w:t>Замовник</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w:t>
      </w:r>
      <w:r w:rsidR="001E764E">
        <w:rPr>
          <w:rFonts w:ascii="Times New Roman" w:eastAsia="Calibri" w:hAnsi="Times New Roman" w:cs="Times New Roman"/>
          <w:sz w:val="24"/>
          <w:szCs w:val="24"/>
          <w:lang w:val="uk-UA"/>
        </w:rPr>
        <w:t>ві Статуту, далі — «Продавець</w:t>
      </w:r>
      <w:r w:rsidRPr="00FF60D2">
        <w:rPr>
          <w:rFonts w:ascii="Times New Roman" w:eastAsia="Calibri" w:hAnsi="Times New Roman" w:cs="Times New Roman"/>
          <w:sz w:val="24"/>
          <w:szCs w:val="24"/>
          <w:lang w:val="uk-UA"/>
        </w:rPr>
        <w:t>»,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521360" w:rsidRPr="00521360" w:rsidRDefault="00D20DA0" w:rsidP="00B23E85">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w:t>
      </w:r>
      <w:r w:rsidR="00521360" w:rsidRPr="00521360">
        <w:rPr>
          <w:rFonts w:ascii="Times New Roman" w:hAnsi="Times New Roman" w:cs="Times New Roman"/>
          <w:sz w:val="24"/>
          <w:szCs w:val="24"/>
        </w:rPr>
        <w:t>1.1. «Продавець» зобов’язується</w:t>
      </w:r>
      <w:r w:rsidR="00B23E85">
        <w:rPr>
          <w:rFonts w:ascii="Times New Roman" w:hAnsi="Times New Roman" w:cs="Times New Roman"/>
          <w:sz w:val="24"/>
          <w:szCs w:val="24"/>
        </w:rPr>
        <w:t xml:space="preserve"> передати у власність «</w:t>
      </w:r>
      <w:r w:rsidR="00B23E85">
        <w:rPr>
          <w:rFonts w:ascii="Times New Roman" w:hAnsi="Times New Roman" w:cs="Times New Roman"/>
          <w:sz w:val="24"/>
          <w:szCs w:val="24"/>
          <w:lang w:val="uk-UA"/>
        </w:rPr>
        <w:t>Замовник</w:t>
      </w:r>
      <w:r w:rsidR="001E764E">
        <w:rPr>
          <w:rFonts w:ascii="Times New Roman" w:hAnsi="Times New Roman" w:cs="Times New Roman"/>
          <w:sz w:val="24"/>
          <w:szCs w:val="24"/>
          <w:lang w:val="uk-UA"/>
        </w:rPr>
        <w:t>а</w:t>
      </w:r>
      <w:r w:rsidR="00521360" w:rsidRPr="00521360">
        <w:rPr>
          <w:rFonts w:ascii="Times New Roman" w:hAnsi="Times New Roman" w:cs="Times New Roman"/>
          <w:sz w:val="24"/>
          <w:szCs w:val="24"/>
        </w:rPr>
        <w:t xml:space="preserve">» </w:t>
      </w:r>
      <w:r w:rsidR="00B23E85">
        <w:rPr>
          <w:rFonts w:ascii="Times New Roman" w:hAnsi="Times New Roman" w:cs="Times New Roman"/>
          <w:sz w:val="24"/>
          <w:szCs w:val="24"/>
          <w:lang w:val="uk-UA"/>
        </w:rPr>
        <w:t xml:space="preserve">товар, а саме: </w:t>
      </w:r>
      <w:r w:rsidR="00B23E85" w:rsidRPr="00B23E85">
        <w:rPr>
          <w:rFonts w:ascii="Times New Roman" w:hAnsi="Times New Roman" w:cs="Times New Roman"/>
          <w:sz w:val="24"/>
          <w:szCs w:val="24"/>
        </w:rPr>
        <w:t>код ДК 021:2015 – 42510000-4 Теплообмінники, кондиціонери повітря, холодильне обладн</w:t>
      </w:r>
      <w:r w:rsidR="00B23E85">
        <w:rPr>
          <w:rFonts w:ascii="Times New Roman" w:hAnsi="Times New Roman" w:cs="Times New Roman"/>
          <w:sz w:val="24"/>
          <w:szCs w:val="24"/>
        </w:rPr>
        <w:t xml:space="preserve">ання та фільтрувальні пристрої </w:t>
      </w:r>
      <w:r w:rsidR="00B23E85" w:rsidRPr="00B23E85">
        <w:rPr>
          <w:rFonts w:ascii="Times New Roman" w:hAnsi="Times New Roman" w:cs="Times New Roman"/>
          <w:sz w:val="24"/>
          <w:szCs w:val="24"/>
        </w:rPr>
        <w:t>(кондиціонери)</w:t>
      </w:r>
      <w:r w:rsidR="00521360" w:rsidRPr="00521360">
        <w:rPr>
          <w:rFonts w:ascii="Times New Roman" w:hAnsi="Times New Roman" w:cs="Times New Roman"/>
          <w:sz w:val="24"/>
          <w:szCs w:val="24"/>
        </w:rPr>
        <w:t xml:space="preserve"> (далі товар), згідно специфікації (Додаток №1), що є невід’ємною част</w:t>
      </w:r>
      <w:r w:rsidR="00B23E85">
        <w:rPr>
          <w:rFonts w:ascii="Times New Roman" w:hAnsi="Times New Roman" w:cs="Times New Roman"/>
          <w:sz w:val="24"/>
          <w:szCs w:val="24"/>
        </w:rPr>
        <w:t>иною цього Договору, а «</w:t>
      </w:r>
      <w:r w:rsidR="00B23E85">
        <w:rPr>
          <w:rFonts w:ascii="Times New Roman" w:hAnsi="Times New Roman" w:cs="Times New Roman"/>
          <w:sz w:val="24"/>
          <w:szCs w:val="24"/>
          <w:lang w:val="uk-UA"/>
        </w:rPr>
        <w:t>Замовник</w:t>
      </w:r>
      <w:r w:rsidR="00521360" w:rsidRPr="00521360">
        <w:rPr>
          <w:rFonts w:ascii="Times New Roman" w:hAnsi="Times New Roman" w:cs="Times New Roman"/>
          <w:sz w:val="24"/>
          <w:szCs w:val="24"/>
        </w:rPr>
        <w:t>» зобов’язаний здійснити оплату товару та його прийняття в порядку та на умовах визначених у цьому Договорі.</w:t>
      </w:r>
    </w:p>
    <w:p w:rsidR="00521360" w:rsidRPr="00521360" w:rsidRDefault="00521360" w:rsidP="00521360">
      <w:pPr>
        <w:shd w:val="clear" w:color="auto" w:fill="FFFFFF"/>
        <w:ind w:firstLine="426"/>
        <w:jc w:val="both"/>
        <w:rPr>
          <w:rFonts w:ascii="Times New Roman" w:hAnsi="Times New Roman" w:cs="Times New Roman"/>
          <w:sz w:val="24"/>
          <w:szCs w:val="24"/>
        </w:rPr>
      </w:pPr>
      <w:r w:rsidRPr="00521360">
        <w:rPr>
          <w:rFonts w:ascii="Times New Roman" w:hAnsi="Times New Roman" w:cs="Times New Roman"/>
          <w:sz w:val="24"/>
          <w:szCs w:val="24"/>
        </w:rPr>
        <w:t xml:space="preserve">1.2. «Продавець» </w:t>
      </w:r>
      <w:r w:rsidR="00B23E85">
        <w:rPr>
          <w:rFonts w:ascii="Times New Roman" w:hAnsi="Times New Roman" w:cs="Times New Roman"/>
          <w:sz w:val="24"/>
          <w:szCs w:val="24"/>
        </w:rPr>
        <w:t>зобов’язаний передати «</w:t>
      </w:r>
      <w:r w:rsidR="00B23E85">
        <w:rPr>
          <w:rFonts w:ascii="Times New Roman" w:hAnsi="Times New Roman" w:cs="Times New Roman"/>
          <w:sz w:val="24"/>
          <w:szCs w:val="24"/>
          <w:lang w:val="uk-UA"/>
        </w:rPr>
        <w:t>Замовнику</w:t>
      </w:r>
      <w:r w:rsidRPr="00521360">
        <w:rPr>
          <w:rFonts w:ascii="Times New Roman" w:hAnsi="Times New Roman" w:cs="Times New Roman"/>
          <w:sz w:val="24"/>
          <w:szCs w:val="24"/>
        </w:rPr>
        <w:t xml:space="preserve">» та здійснити монтаж Товару </w:t>
      </w:r>
      <w:r w:rsidR="00E705CE">
        <w:rPr>
          <w:rFonts w:ascii="Times New Roman" w:hAnsi="Times New Roman" w:cs="Times New Roman"/>
          <w:sz w:val="24"/>
          <w:szCs w:val="24"/>
        </w:rPr>
        <w:t>до</w:t>
      </w:r>
      <w:r w:rsidR="00E705CE" w:rsidRPr="00E705CE">
        <w:rPr>
          <w:rFonts w:ascii="Times New Roman" w:hAnsi="Times New Roman" w:cs="Times New Roman"/>
          <w:sz w:val="24"/>
          <w:szCs w:val="24"/>
        </w:rPr>
        <w:t xml:space="preserve"> 30 червня 2024 року, згідно зробленої заявки</w:t>
      </w:r>
      <w:r w:rsidRPr="00521360">
        <w:rPr>
          <w:rFonts w:ascii="Times New Roman" w:hAnsi="Times New Roman" w:cs="Times New Roman"/>
          <w:sz w:val="24"/>
          <w:szCs w:val="24"/>
        </w:rPr>
        <w:t xml:space="preserve">. Ціна доставки та монтажу входить у ціну товару. У вартість закладені слідуючи матеріали та послуги: кондиціонер, монтаж кондиціонера, труби фреонові мідні 1/4, 3,8 (5-8 м.пог.); теплоізоляція труб; дренаж гнучкий; дренаж жорсткий; кабель електричний між блочний 5*1,5, кабель електричний 3*1.5, короб канал 60*60, короб канал 15*15, кронштейни, ізолента, лента вініл, хладогент R410. </w:t>
      </w:r>
    </w:p>
    <w:p w:rsidR="00D20DA0" w:rsidRPr="00070F4E" w:rsidRDefault="00521360" w:rsidP="00521360">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1.3.</w:t>
      </w:r>
      <w:r w:rsidR="00D20DA0" w:rsidRPr="00070F4E">
        <w:rPr>
          <w:rFonts w:ascii="Times New Roman" w:hAnsi="Times New Roman" w:cs="Times New Roman"/>
          <w:sz w:val="24"/>
          <w:szCs w:val="24"/>
        </w:rPr>
        <w:t xml:space="preserve"> Обсяги закупівлі Товару можуть бути зміненні залежно від фактичної потреби замовника.</w:t>
      </w:r>
    </w:p>
    <w:p w:rsidR="00521360" w:rsidRDefault="00D20DA0" w:rsidP="0052136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w:t>
      </w:r>
      <w:r w:rsidR="00521360" w:rsidRPr="00521360">
        <w:t xml:space="preserve"> </w:t>
      </w:r>
      <w:r w:rsidR="00521360" w:rsidRPr="00521360">
        <w:rPr>
          <w:rFonts w:ascii="Times New Roman" w:hAnsi="Times New Roman" w:cs="Times New Roman"/>
          <w:b/>
          <w:bCs/>
          <w:sz w:val="24"/>
          <w:szCs w:val="24"/>
        </w:rPr>
        <w:t xml:space="preserve">Гарантійні зобов’язання </w:t>
      </w:r>
    </w:p>
    <w:p w:rsidR="00521360" w:rsidRPr="00521360" w:rsidRDefault="00521360" w:rsidP="00521360">
      <w:pPr>
        <w:pStyle w:val="afa"/>
        <w:tabs>
          <w:tab w:val="left" w:pos="1662"/>
        </w:tabs>
        <w:rPr>
          <w:rFonts w:ascii="Times New Roman" w:hAnsi="Times New Roman" w:cs="Times New Roman"/>
          <w:sz w:val="24"/>
          <w:szCs w:val="24"/>
          <w:lang w:val="uk-UA"/>
        </w:rPr>
      </w:pPr>
      <w:r>
        <w:rPr>
          <w:rFonts w:ascii="Times New Roman" w:hAnsi="Times New Roman" w:cs="Times New Roman"/>
          <w:b/>
          <w:bCs/>
          <w:sz w:val="24"/>
          <w:szCs w:val="24"/>
          <w:lang w:val="ru-RU"/>
        </w:rPr>
        <w:t xml:space="preserve">        </w:t>
      </w:r>
      <w:r w:rsidR="00D20DA0" w:rsidRPr="00521360">
        <w:rPr>
          <w:rFonts w:ascii="Times New Roman" w:hAnsi="Times New Roman" w:cs="Times New Roman"/>
          <w:sz w:val="24"/>
          <w:szCs w:val="24"/>
          <w:lang w:val="ru-RU"/>
        </w:rPr>
        <w:t>2.</w:t>
      </w:r>
      <w:r w:rsidR="00D20DA0" w:rsidRPr="00521360">
        <w:rPr>
          <w:rFonts w:ascii="Times New Roman" w:hAnsi="Times New Roman" w:cs="Times New Roman"/>
          <w:bCs/>
          <w:sz w:val="24"/>
          <w:szCs w:val="24"/>
          <w:lang w:val="ru-RU"/>
        </w:rPr>
        <w:t xml:space="preserve">1. </w:t>
      </w:r>
      <w:r w:rsidRPr="00521360">
        <w:rPr>
          <w:rFonts w:ascii="Times New Roman" w:hAnsi="Times New Roman" w:cs="Times New Roman"/>
          <w:sz w:val="24"/>
          <w:szCs w:val="24"/>
          <w:lang w:val="uk-UA" w:eastAsia="uk-UA"/>
        </w:rPr>
        <w:t>«Продавець» гарантує якість та надійність товару, що продається відповідно до положень Закону України «Про захист прав споживачів».</w:t>
      </w:r>
    </w:p>
    <w:p w:rsidR="00521360" w:rsidRPr="00521360" w:rsidRDefault="00521360" w:rsidP="00521360">
      <w:pPr>
        <w:pStyle w:val="afa"/>
        <w:tabs>
          <w:tab w:val="left" w:pos="718"/>
        </w:tabs>
        <w:rPr>
          <w:rFonts w:ascii="Times New Roman" w:hAnsi="Times New Roman" w:cs="Times New Roman"/>
          <w:sz w:val="24"/>
          <w:szCs w:val="24"/>
          <w:lang w:val="uk-UA"/>
        </w:rPr>
      </w:pPr>
      <w:r w:rsidRPr="00521360">
        <w:rPr>
          <w:rFonts w:ascii="Times New Roman" w:hAnsi="Times New Roman" w:cs="Times New Roman"/>
          <w:sz w:val="24"/>
          <w:szCs w:val="24"/>
          <w:lang w:val="uk-UA" w:eastAsia="uk-UA"/>
        </w:rPr>
        <w:t xml:space="preserve">       2.2. У разі поставки неякісного товару, «Продавець» повинен здійснити заміну і поставку товару належної якості протягом двох робочих днів з дати отримання ві</w:t>
      </w:r>
      <w:r w:rsidR="00B23E85">
        <w:rPr>
          <w:rFonts w:ascii="Times New Roman" w:hAnsi="Times New Roman" w:cs="Times New Roman"/>
          <w:sz w:val="24"/>
          <w:szCs w:val="24"/>
          <w:lang w:val="uk-UA" w:eastAsia="uk-UA"/>
        </w:rPr>
        <w:t>дповідної претензії від «Замовника</w:t>
      </w:r>
      <w:r w:rsidRPr="00521360">
        <w:rPr>
          <w:rFonts w:ascii="Times New Roman" w:hAnsi="Times New Roman" w:cs="Times New Roman"/>
          <w:sz w:val="24"/>
          <w:szCs w:val="24"/>
          <w:lang w:val="uk-UA" w:eastAsia="uk-UA"/>
        </w:rPr>
        <w:t>».</w:t>
      </w:r>
    </w:p>
    <w:p w:rsidR="00521360" w:rsidRPr="00521360" w:rsidRDefault="00521360" w:rsidP="00521360">
      <w:pPr>
        <w:pStyle w:val="afa"/>
        <w:tabs>
          <w:tab w:val="left" w:pos="718"/>
        </w:tabs>
        <w:rPr>
          <w:rFonts w:ascii="Times New Roman" w:hAnsi="Times New Roman" w:cs="Times New Roman"/>
          <w:sz w:val="24"/>
          <w:szCs w:val="24"/>
          <w:lang w:val="uk-UA"/>
        </w:rPr>
      </w:pPr>
      <w:r w:rsidRPr="00521360">
        <w:rPr>
          <w:rFonts w:ascii="Times New Roman" w:hAnsi="Times New Roman" w:cs="Times New Roman"/>
          <w:sz w:val="24"/>
          <w:szCs w:val="24"/>
          <w:lang w:val="uk-UA"/>
        </w:rPr>
        <w:t xml:space="preserve">       2</w:t>
      </w:r>
      <w:r w:rsidRPr="00521360">
        <w:rPr>
          <w:rStyle w:val="0pt"/>
          <w:rFonts w:cs="Times New Roman"/>
          <w:sz w:val="24"/>
          <w:szCs w:val="24"/>
          <w:lang w:val="uk-UA" w:eastAsia="uk-UA"/>
        </w:rPr>
        <w:t>.3. Якість</w:t>
      </w:r>
      <w:r w:rsidRPr="00521360">
        <w:rPr>
          <w:rFonts w:ascii="Times New Roman" w:hAnsi="Times New Roman" w:cs="Times New Roman"/>
          <w:sz w:val="24"/>
          <w:szCs w:val="24"/>
          <w:lang w:val="uk-UA" w:eastAsia="uk-UA"/>
        </w:rPr>
        <w:t xml:space="preserve"> товару повинна відповідати державним стандартам. </w:t>
      </w:r>
      <w:r w:rsidRPr="00521360">
        <w:rPr>
          <w:rFonts w:ascii="Times New Roman" w:hAnsi="Times New Roman" w:cs="Times New Roman"/>
          <w:sz w:val="24"/>
          <w:szCs w:val="24"/>
          <w:lang w:val="uk-UA"/>
        </w:rPr>
        <w:t>Гарантійний термін експлуатації товару – 24 місяці.</w:t>
      </w:r>
    </w:p>
    <w:p w:rsidR="00D20DA0" w:rsidRPr="00070F4E" w:rsidRDefault="00521360" w:rsidP="00521360">
      <w:pPr>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D20DA0"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становить  </w:t>
      </w:r>
      <w:r w:rsidRPr="00D20DA0">
        <w:rPr>
          <w:rFonts w:ascii="Times New Roman" w:eastAsia="Times New Roman" w:hAnsi="Times New Roman" w:cs="Times New Roman"/>
          <w:bCs/>
          <w:sz w:val="24"/>
          <w:szCs w:val="24"/>
        </w:rPr>
        <w:t>_____________________</w:t>
      </w:r>
      <w:r w:rsidR="001502DC">
        <w:rPr>
          <w:rFonts w:ascii="Times New Roman" w:eastAsia="Times New Roman" w:hAnsi="Times New Roman" w:cs="Times New Roman"/>
          <w:bCs/>
          <w:sz w:val="24"/>
          <w:szCs w:val="24"/>
          <w:lang w:val="uk-UA"/>
        </w:rPr>
        <w:t>, з/без ПДВ</w:t>
      </w:r>
      <w:r w:rsidR="00D07C4C">
        <w:rPr>
          <w:rFonts w:ascii="Times New Roman" w:eastAsia="Times New Roman" w:hAnsi="Times New Roman" w:cs="Times New Roman"/>
          <w:bCs/>
          <w:sz w:val="24"/>
          <w:szCs w:val="24"/>
          <w:lang w:val="uk-UA"/>
        </w:rPr>
        <w:t>.</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w:t>
      </w:r>
      <w:r w:rsidRPr="00070F4E">
        <w:rPr>
          <w:rFonts w:ascii="Times New Roman" w:eastAsia="Times New Roman" w:hAnsi="Times New Roman" w:cs="Times New Roman"/>
          <w:spacing w:val="-2"/>
          <w:sz w:val="24"/>
          <w:szCs w:val="24"/>
        </w:rPr>
        <w:lastRenderedPageBreak/>
        <w:t xml:space="preserve">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 xml:space="preserve">4.2.1.Замовник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w:t>
      </w:r>
      <w:r w:rsidR="00B23E85">
        <w:rPr>
          <w:rFonts w:ascii="Times New Roman" w:eastAsia="Times New Roman" w:hAnsi="Times New Roman" w:cs="Times New Roman"/>
          <w:sz w:val="24"/>
          <w:szCs w:val="24"/>
        </w:rPr>
        <w:t>а поточний рахунок Продавця</w:t>
      </w:r>
      <w:r w:rsidRPr="00070F4E">
        <w:rPr>
          <w:rFonts w:ascii="Times New Roman" w:eastAsia="Times New Roman" w:hAnsi="Times New Roman" w:cs="Times New Roman"/>
          <w:sz w:val="24"/>
          <w:szCs w:val="24"/>
        </w:rPr>
        <w:t xml:space="preserve">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521360" w:rsidRPr="00070F4E" w:rsidRDefault="00D20DA0" w:rsidP="00E705CE">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sidR="00E705CE">
        <w:rPr>
          <w:rFonts w:ascii="Times New Roman" w:eastAsia="Times New Roman" w:hAnsi="Times New Roman" w:cs="Times New Roman"/>
          <w:spacing w:val="-2"/>
          <w:sz w:val="24"/>
          <w:szCs w:val="24"/>
        </w:rPr>
        <w:t xml:space="preserve">1. </w:t>
      </w:r>
      <w:r>
        <w:rPr>
          <w:rFonts w:ascii="Times New Roman" w:eastAsia="Times New Roman" w:hAnsi="Times New Roman" w:cs="Times New Roman"/>
          <w:spacing w:val="-2"/>
          <w:sz w:val="24"/>
          <w:szCs w:val="24"/>
          <w:lang w:val="uk-UA"/>
        </w:rPr>
        <w:t>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w:t>
      </w:r>
      <w:r w:rsidR="00B23E85">
        <w:rPr>
          <w:rFonts w:ascii="Times New Roman" w:eastAsia="Times New Roman" w:hAnsi="Times New Roman" w:cs="Times New Roman"/>
          <w:spacing w:val="-2"/>
          <w:sz w:val="24"/>
          <w:szCs w:val="24"/>
        </w:rPr>
        <w:t xml:space="preserve">відальними особами </w:t>
      </w:r>
      <w:r w:rsidR="00B23E85">
        <w:rPr>
          <w:rFonts w:ascii="Times New Roman" w:eastAsia="Times New Roman" w:hAnsi="Times New Roman" w:cs="Times New Roman"/>
          <w:spacing w:val="-2"/>
          <w:sz w:val="24"/>
          <w:szCs w:val="24"/>
          <w:lang w:val="uk-UA"/>
        </w:rPr>
        <w:t>Продавця</w:t>
      </w:r>
      <w:r w:rsidRPr="00F878E4">
        <w:rPr>
          <w:rFonts w:ascii="Times New Roman" w:eastAsia="Times New Roman" w:hAnsi="Times New Roman" w:cs="Times New Roman"/>
          <w:spacing w:val="-2"/>
          <w:sz w:val="24"/>
          <w:szCs w:val="24"/>
        </w:rPr>
        <w:t xml:space="preserve"> та Замовника видаткової накладної. </w:t>
      </w:r>
    </w:p>
    <w:p w:rsidR="00B23E85" w:rsidRDefault="00B23E85" w:rsidP="00D20DA0">
      <w:pPr>
        <w:widowControl w:val="0"/>
        <w:autoSpaceDE w:val="0"/>
        <w:autoSpaceDN w:val="0"/>
        <w:adjustRightInd w:val="0"/>
        <w:ind w:left="-709" w:firstLine="425"/>
        <w:jc w:val="center"/>
        <w:rPr>
          <w:rFonts w:ascii="Times New Roman" w:eastAsia="Times New Roman" w:hAnsi="Times New Roman" w:cs="Times New Roman"/>
          <w:spacing w:val="-2"/>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6.1.1. Своєчасно та у повному обсязі сплатити вартість товару у порядку,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w:t>
      </w:r>
      <w:r w:rsidR="00B23E85">
        <w:rPr>
          <w:rFonts w:ascii="Times New Roman" w:hAnsi="Times New Roman" w:cs="Times New Roman"/>
          <w:sz w:val="24"/>
          <w:szCs w:val="24"/>
          <w:lang w:eastAsia="en-US"/>
        </w:rPr>
        <w:t>нання зобов’язань Продавцем</w:t>
      </w:r>
      <w:r w:rsidRPr="00F878E4">
        <w:rPr>
          <w:rFonts w:ascii="Times New Roman" w:hAnsi="Times New Roman" w:cs="Times New Roman"/>
          <w:sz w:val="24"/>
          <w:szCs w:val="24"/>
          <w:lang w:eastAsia="en-US"/>
        </w:rPr>
        <w:t>,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w:t>
      </w:r>
      <w:r w:rsidR="00B23E85">
        <w:rPr>
          <w:rFonts w:ascii="Times New Roman" w:hAnsi="Times New Roman" w:cs="Times New Roman"/>
          <w:sz w:val="24"/>
          <w:szCs w:val="24"/>
          <w:lang w:eastAsia="en-US"/>
        </w:rPr>
        <w:t>/рахунок - фактуру Продавцю</w:t>
      </w:r>
      <w:r w:rsidRPr="00F878E4">
        <w:rPr>
          <w:rFonts w:ascii="Times New Roman" w:hAnsi="Times New Roman" w:cs="Times New Roman"/>
          <w:sz w:val="24"/>
          <w:szCs w:val="24"/>
          <w:lang w:eastAsia="en-US"/>
        </w:rPr>
        <w:t xml:space="preserve">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B23E85" w:rsidP="00D20DA0">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6.3. Продавець</w:t>
      </w:r>
      <w:r w:rsidR="00D20DA0" w:rsidRPr="00F878E4">
        <w:rPr>
          <w:rFonts w:ascii="Times New Roman" w:hAnsi="Times New Roman" w:cs="Times New Roman"/>
          <w:sz w:val="24"/>
          <w:szCs w:val="24"/>
          <w:u w:val="single"/>
          <w:lang w:eastAsia="en-US"/>
        </w:rPr>
        <w:t xml:space="preserve">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6.3.4. Нести всі ризики, яких може зазнати товар до моменту його належної передачі.</w:t>
      </w:r>
    </w:p>
    <w:p w:rsidR="00D20DA0" w:rsidRPr="00F878E4" w:rsidRDefault="00B23E85" w:rsidP="00D20DA0">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6.4. Продавець</w:t>
      </w:r>
      <w:r w:rsidR="00D20DA0" w:rsidRPr="00F878E4">
        <w:rPr>
          <w:rFonts w:ascii="Times New Roman" w:hAnsi="Times New Roman" w:cs="Times New Roman"/>
          <w:sz w:val="24"/>
          <w:szCs w:val="24"/>
          <w:u w:val="single"/>
          <w:lang w:eastAsia="en-US"/>
        </w:rPr>
        <w:t xml:space="preserve">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6.4.1. Своєчасно та в повному обсязі отримати плату відповідно до порядку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6.4.3. У разі невиконання зобо</w:t>
      </w:r>
      <w:r w:rsidR="00B23E85">
        <w:rPr>
          <w:rFonts w:ascii="Times New Roman" w:eastAsia="SimSun" w:hAnsi="Times New Roman" w:cs="Times New Roman"/>
          <w:sz w:val="24"/>
          <w:szCs w:val="24"/>
          <w:lang w:eastAsia="zh-CN"/>
        </w:rPr>
        <w:t xml:space="preserve">в’язань Замовником Продавець </w:t>
      </w:r>
      <w:r w:rsidRPr="00F878E4">
        <w:rPr>
          <w:rFonts w:ascii="Times New Roman" w:eastAsia="SimSun" w:hAnsi="Times New Roman" w:cs="Times New Roman"/>
          <w:sz w:val="24"/>
          <w:szCs w:val="24"/>
          <w:lang w:eastAsia="zh-CN"/>
        </w:rPr>
        <w:t xml:space="preserve">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E705CE" w:rsidRPr="00781461" w:rsidRDefault="00E705CE"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lastRenderedPageBreak/>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У разі затримки поставки товару або поставки не в повному обсязі партії товару, за</w:t>
      </w:r>
      <w:r w:rsidR="00B23E85">
        <w:rPr>
          <w:rFonts w:ascii="Times New Roman" w:eastAsia="SimSun" w:hAnsi="Times New Roman" w:cs="Times New Roman"/>
          <w:color w:val="000000"/>
          <w:sz w:val="24"/>
          <w:szCs w:val="24"/>
          <w:lang w:eastAsia="zh-CN"/>
        </w:rPr>
        <w:t>явленої Замовником, Продавець</w:t>
      </w:r>
      <w:r w:rsidRPr="00F878E4">
        <w:rPr>
          <w:rFonts w:ascii="Times New Roman" w:eastAsia="SimSun" w:hAnsi="Times New Roman" w:cs="Times New Roman"/>
          <w:color w:val="000000"/>
          <w:sz w:val="24"/>
          <w:szCs w:val="24"/>
          <w:lang w:eastAsia="zh-CN"/>
        </w:rPr>
        <w:t xml:space="preserve">  сплачує пеню у розмірі 0,1% від суми непоставленого товару за кожний день затримки. Сплата штрафних санкцій, (пеня, неустойка ,ш</w:t>
      </w:r>
      <w:r w:rsidR="00B23E85">
        <w:rPr>
          <w:rFonts w:ascii="Times New Roman" w:eastAsia="SimSun" w:hAnsi="Times New Roman" w:cs="Times New Roman"/>
          <w:color w:val="000000"/>
          <w:sz w:val="24"/>
          <w:szCs w:val="24"/>
          <w:lang w:eastAsia="zh-CN"/>
        </w:rPr>
        <w:t>траф)  не звільняє Продавця</w:t>
      </w:r>
      <w:r w:rsidRPr="00F878E4">
        <w:rPr>
          <w:rFonts w:ascii="Times New Roman" w:eastAsia="SimSun" w:hAnsi="Times New Roman" w:cs="Times New Roman"/>
          <w:color w:val="000000"/>
          <w:sz w:val="24"/>
          <w:szCs w:val="24"/>
          <w:lang w:eastAsia="zh-CN"/>
        </w:rPr>
        <w:t xml:space="preserve">  від обов’язку поставити Товар відповідно до умов Договору. У разі поставк</w:t>
      </w:r>
      <w:r w:rsidR="00B23E85">
        <w:rPr>
          <w:rFonts w:ascii="Times New Roman" w:eastAsia="SimSun" w:hAnsi="Times New Roman" w:cs="Times New Roman"/>
          <w:color w:val="000000"/>
          <w:sz w:val="24"/>
          <w:szCs w:val="24"/>
          <w:lang w:eastAsia="zh-CN"/>
        </w:rPr>
        <w:t>и неякісного Товару Продавець</w:t>
      </w:r>
      <w:r w:rsidRPr="00F878E4">
        <w:rPr>
          <w:rFonts w:ascii="Times New Roman" w:eastAsia="SimSun" w:hAnsi="Times New Roman" w:cs="Times New Roman"/>
          <w:color w:val="000000"/>
          <w:sz w:val="24"/>
          <w:szCs w:val="24"/>
          <w:lang w:eastAsia="zh-CN"/>
        </w:rPr>
        <w:t xml:space="preserve">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7.3.1. Затримка поставки товару або поставка не в повному обсязі партії товару – пеня у розмірі  0,1%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xml:space="preserve">10.3. Дію цього Договору може бути достроково припинено після виконання в повному </w:t>
      </w:r>
      <w:r w:rsidRPr="00781461">
        <w:rPr>
          <w:rFonts w:ascii="Times New Roman" w:eastAsia="Times New Roman" w:hAnsi="Times New Roman" w:cs="Times New Roman"/>
          <w:bCs/>
          <w:kern w:val="28"/>
          <w:sz w:val="24"/>
          <w:szCs w:val="24"/>
        </w:rPr>
        <w:lastRenderedPageBreak/>
        <w:t>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ED7509" w:rsidP="00ED7509">
      <w:pPr>
        <w:suppressAutoHyphens/>
        <w:jc w:val="both"/>
        <w:rPr>
          <w:rFonts w:ascii="Times New Roman" w:hAnsi="Times New Roman" w:cs="Times New Roman"/>
          <w:color w:val="1F1F1F"/>
          <w:sz w:val="24"/>
          <w:szCs w:val="24"/>
          <w:lang w:eastAsia="en-US"/>
        </w:rPr>
      </w:pPr>
      <w:r>
        <w:rPr>
          <w:rFonts w:ascii="Times New Roman" w:hAnsi="Times New Roman" w:cs="Times New Roman"/>
          <w:sz w:val="24"/>
          <w:szCs w:val="24"/>
          <w:lang w:val="uk-UA" w:eastAsia="uk-UA"/>
        </w:rPr>
        <w:lastRenderedPageBreak/>
        <w:t xml:space="preserve">    </w:t>
      </w:r>
      <w:r w:rsidR="00D20DA0" w:rsidRPr="00F878E4">
        <w:rPr>
          <w:rFonts w:ascii="Times New Roman" w:hAnsi="Times New Roman" w:cs="Times New Roman"/>
          <w:sz w:val="24"/>
          <w:szCs w:val="24"/>
          <w:lang w:eastAsia="uk-UA"/>
        </w:rPr>
        <w:t xml:space="preserve">  </w:t>
      </w:r>
      <w:r w:rsidR="00D20DA0" w:rsidRPr="00F878E4">
        <w:rPr>
          <w:rFonts w:ascii="Times New Roman" w:hAnsi="Times New Roman" w:cs="Times New Roman"/>
          <w:color w:val="1F1F1F"/>
          <w:sz w:val="24"/>
          <w:szCs w:val="24"/>
          <w:lang w:eastAsia="en-US"/>
        </w:rPr>
        <w:t>11.2. Зміни до договору про закупівлю оформляються у письмовій формі шляхом укладення відповідної додаткової угоди (угод) Сторонами.</w:t>
      </w:r>
    </w:p>
    <w:p w:rsidR="00D20DA0" w:rsidRPr="00F878E4" w:rsidRDefault="00ED7509"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Pr>
          <w:rFonts w:ascii="Times New Roman" w:hAnsi="Times New Roman" w:cs="Times New Roman"/>
          <w:color w:val="1F1F1F"/>
          <w:sz w:val="24"/>
          <w:szCs w:val="24"/>
          <w:lang w:eastAsia="en-US"/>
        </w:rPr>
        <w:t>11.3</w:t>
      </w:r>
      <w:r w:rsidR="00D20DA0" w:rsidRPr="00F878E4">
        <w:rPr>
          <w:rFonts w:ascii="Times New Roman" w:hAnsi="Times New Roman" w:cs="Times New Roman"/>
          <w:color w:val="1F1F1F"/>
          <w:sz w:val="24"/>
          <w:szCs w:val="24"/>
          <w:lang w:eastAsia="en-US"/>
        </w:rPr>
        <w:t>. Пропоз</w:t>
      </w:r>
      <w:r w:rsidR="00D20DA0" w:rsidRPr="00F878E4">
        <w:rPr>
          <w:rFonts w:ascii="Times New Roman" w:hAnsi="Times New Roman" w:cs="Times New Roman"/>
          <w:sz w:val="24"/>
          <w:szCs w:val="24"/>
          <w:lang w:eastAsia="en-US"/>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00D20DA0"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ED7509" w:rsidP="00D20DA0">
      <w:pPr>
        <w:keepLines/>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r w:rsidR="00D20DA0" w:rsidRPr="00F878E4">
        <w:rPr>
          <w:rFonts w:ascii="Times New Roman" w:hAnsi="Times New Roman" w:cs="Times New Roman"/>
          <w:sz w:val="24"/>
          <w:szCs w:val="24"/>
          <w:lang w:eastAsia="en-US"/>
        </w:rPr>
        <w:t>. Пропозиція щодо внесення змін до договору про закупівлю має містити обґрунтування необхідності внесення таких змін.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r w:rsidR="00D20DA0" w:rsidRPr="00F878E4">
        <w:rPr>
          <w:rFonts w:ascii="Times New Roman" w:hAnsi="Times New Roman" w:cs="Times New Roman"/>
          <w:sz w:val="24"/>
          <w:szCs w:val="24"/>
          <w:lang w:eastAsia="en-US"/>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r w:rsidR="00D20DA0" w:rsidRPr="00F878E4">
        <w:rPr>
          <w:rFonts w:ascii="Times New Roman" w:hAnsi="Times New Roman" w:cs="Times New Roman"/>
          <w:sz w:val="24"/>
          <w:szCs w:val="24"/>
          <w:lang w:eastAsia="en-US"/>
        </w:rPr>
        <w:t>.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r w:rsidR="00D20DA0" w:rsidRPr="00F878E4">
        <w:rPr>
          <w:rFonts w:ascii="Times New Roman" w:hAnsi="Times New Roman" w:cs="Times New Roman"/>
          <w:sz w:val="24"/>
          <w:szCs w:val="24"/>
          <w:lang w:eastAsia="en-US"/>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r w:rsidR="00D20DA0" w:rsidRPr="00F878E4">
        <w:rPr>
          <w:rFonts w:ascii="Times New Roman" w:hAnsi="Times New Roman" w:cs="Times New Roman"/>
          <w:sz w:val="24"/>
          <w:szCs w:val="24"/>
          <w:lang w:eastAsia="en-US"/>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r w:rsidR="00D20DA0" w:rsidRPr="00F878E4">
        <w:rPr>
          <w:rFonts w:ascii="Times New Roman" w:hAnsi="Times New Roman" w:cs="Times New Roman"/>
          <w:sz w:val="24"/>
          <w:szCs w:val="24"/>
          <w:lang w:eastAsia="en-US"/>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11.10</w:t>
      </w:r>
      <w:r w:rsidR="00D20DA0" w:rsidRPr="00F878E4">
        <w:rPr>
          <w:rFonts w:ascii="Times New Roman" w:hAnsi="Times New Roman" w:cs="Times New Roman"/>
          <w:sz w:val="24"/>
          <w:szCs w:val="24"/>
          <w:lang w:eastAsia="en-US"/>
        </w:rPr>
        <w:t>.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ок №  1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521360" w:rsidRDefault="00521360" w:rsidP="00DE4DCE">
            <w:pPr>
              <w:rPr>
                <w:rFonts w:ascii="Times New Roman" w:hAnsi="Times New Roman"/>
                <w:sz w:val="24"/>
                <w:szCs w:val="24"/>
                <w:lang w:val="uk-UA"/>
              </w:rPr>
            </w:pPr>
            <w:r>
              <w:rPr>
                <w:rFonts w:ascii="Times New Roman" w:hAnsi="Times New Roman"/>
                <w:sz w:val="24"/>
                <w:szCs w:val="24"/>
              </w:rPr>
              <w:t xml:space="preserve">                     </w:t>
            </w:r>
            <w:r w:rsidR="00B23E85">
              <w:rPr>
                <w:rFonts w:ascii="Times New Roman" w:hAnsi="Times New Roman"/>
                <w:sz w:val="24"/>
                <w:szCs w:val="24"/>
                <w:lang w:val="uk-UA"/>
              </w:rPr>
              <w:t>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EA1CE4" w:rsidRDefault="00D20DA0" w:rsidP="00DE4DCE">
            <w:pPr>
              <w:rPr>
                <w:rFonts w:ascii="Times New Roman" w:hAnsi="Times New Roman"/>
                <w:sz w:val="24"/>
                <w:szCs w:val="24"/>
                <w:lang w:val="uk-UA"/>
              </w:rPr>
            </w:pPr>
            <w:r w:rsidRPr="00715C04">
              <w:rPr>
                <w:rFonts w:ascii="Times New Roman" w:hAnsi="Times New Roman"/>
                <w:sz w:val="24"/>
                <w:szCs w:val="24"/>
              </w:rPr>
              <w:t>р/</w:t>
            </w:r>
            <w:r w:rsidR="00B23E85">
              <w:rPr>
                <w:rFonts w:ascii="Times New Roman" w:hAnsi="Times New Roman"/>
                <w:sz w:val="24"/>
                <w:szCs w:val="24"/>
              </w:rPr>
              <w:t xml:space="preserve">р UA </w:t>
            </w:r>
            <w:r w:rsidR="00EA1CE4">
              <w:rPr>
                <w:rFonts w:ascii="Times New Roman" w:hAnsi="Times New Roman"/>
                <w:sz w:val="24"/>
                <w:szCs w:val="24"/>
                <w:lang w:val="uk-UA"/>
              </w:rPr>
              <w:t>958201720344301003400032133</w:t>
            </w:r>
          </w:p>
          <w:p w:rsidR="005D6B2E" w:rsidRDefault="00EA1CE4" w:rsidP="00DE4DCE">
            <w:pPr>
              <w:rPr>
                <w:rFonts w:ascii="Times New Roman" w:hAnsi="Times New Roman"/>
                <w:sz w:val="24"/>
                <w:szCs w:val="24"/>
              </w:rPr>
            </w:pPr>
            <w:r>
              <w:rPr>
                <w:rFonts w:ascii="Times New Roman" w:hAnsi="Times New Roman"/>
                <w:sz w:val="24"/>
                <w:szCs w:val="24"/>
              </w:rPr>
              <w:lastRenderedPageBreak/>
              <w:t xml:space="preserve">в </w:t>
            </w:r>
            <w:r>
              <w:rPr>
                <w:rFonts w:ascii="Times New Roman" w:hAnsi="Times New Roman"/>
                <w:sz w:val="24"/>
                <w:szCs w:val="24"/>
                <w:lang w:val="uk-UA"/>
              </w:rPr>
              <w:t>ДКСУ м.Київ</w:t>
            </w:r>
            <w:r>
              <w:rPr>
                <w:rFonts w:ascii="Times New Roman" w:hAnsi="Times New Roman"/>
                <w:sz w:val="24"/>
                <w:szCs w:val="24"/>
              </w:rPr>
              <w:t>, МФО 820172</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B23E85" w:rsidRDefault="00CD5CA6" w:rsidP="00DE4DCE">
            <w:pPr>
              <w:tabs>
                <w:tab w:val="left" w:pos="2712"/>
              </w:tabs>
              <w:suppressAutoHyphens/>
              <w:autoSpaceDE w:val="0"/>
              <w:autoSpaceDN w:val="0"/>
              <w:adjustRightInd w:val="0"/>
              <w:rPr>
                <w:rFonts w:ascii="Times New Roman" w:hAnsi="Times New Roman"/>
                <w:bCs/>
                <w:sz w:val="24"/>
                <w:szCs w:val="24"/>
                <w:lang w:val="uk-UA" w:eastAsia="ar-SA"/>
              </w:rPr>
            </w:pPr>
            <w:r>
              <w:rPr>
                <w:rFonts w:ascii="Times New Roman" w:hAnsi="Times New Roman"/>
                <w:bCs/>
                <w:sz w:val="24"/>
                <w:szCs w:val="24"/>
                <w:lang w:val="uk-UA" w:eastAsia="ar-SA"/>
              </w:rPr>
              <w:lastRenderedPageBreak/>
              <w:t xml:space="preserve">                   </w:t>
            </w:r>
            <w:r w:rsidR="00B23E85">
              <w:rPr>
                <w:rFonts w:ascii="Times New Roman" w:hAnsi="Times New Roman"/>
                <w:bCs/>
                <w:sz w:val="24"/>
                <w:szCs w:val="24"/>
                <w:lang w:eastAsia="ar-SA"/>
              </w:rPr>
              <w:t>П</w:t>
            </w:r>
            <w:r w:rsidR="00B23E85">
              <w:rPr>
                <w:rFonts w:ascii="Times New Roman" w:hAnsi="Times New Roman"/>
                <w:bCs/>
                <w:sz w:val="24"/>
                <w:szCs w:val="24"/>
                <w:lang w:val="uk-UA" w:eastAsia="ar-SA"/>
              </w:rPr>
              <w:t>РОДАВЕЦЬ</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E4DCE">
            <w:pPr>
              <w:tabs>
                <w:tab w:val="left" w:pos="1965"/>
              </w:tabs>
              <w:suppressAutoHyphens/>
              <w:autoSpaceDE w:val="0"/>
              <w:autoSpaceDN w:val="0"/>
              <w:adjustRightInd w:val="0"/>
              <w:rPr>
                <w:rFonts w:ascii="Times New Roman" w:hAnsi="Times New Roman"/>
                <w:b/>
                <w:bCs/>
                <w:sz w:val="24"/>
                <w:szCs w:val="24"/>
                <w:lang w:eastAsia="ar-SA"/>
              </w:rPr>
            </w:pPr>
          </w:p>
          <w:p w:rsidR="001502DC" w:rsidRPr="00FC25F9" w:rsidRDefault="001502DC"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EA1CE4" w:rsidRPr="00FC25F9" w:rsidRDefault="00EA1CE4" w:rsidP="00EA1CE4">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EA1CE4" w:rsidRPr="00B427B5" w:rsidRDefault="00EA1CE4" w:rsidP="00EA1CE4">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EA1CE4" w:rsidRPr="00B427B5" w:rsidRDefault="00EA1CE4" w:rsidP="00EA1CE4">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Pr="00B427B5">
              <w:rPr>
                <w:rFonts w:ascii="Times New Roman" w:hAnsi="Times New Roman"/>
                <w:sz w:val="24"/>
                <w:szCs w:val="24"/>
              </w:rPr>
              <w:t>код ЄДРПОУ 02007549</w:t>
            </w:r>
          </w:p>
          <w:p w:rsidR="00EA1CE4" w:rsidRPr="00EA1CE4" w:rsidRDefault="00EA1CE4" w:rsidP="00EA1CE4">
            <w:pPr>
              <w:rPr>
                <w:rFonts w:ascii="Times New Roman" w:hAnsi="Times New Roman"/>
                <w:sz w:val="24"/>
                <w:szCs w:val="24"/>
                <w:lang w:val="uk-UA"/>
              </w:rPr>
            </w:pPr>
            <w:r w:rsidRPr="00715C04">
              <w:rPr>
                <w:rFonts w:ascii="Times New Roman" w:hAnsi="Times New Roman"/>
                <w:sz w:val="24"/>
                <w:szCs w:val="24"/>
              </w:rPr>
              <w:t>р/</w:t>
            </w:r>
            <w:r>
              <w:rPr>
                <w:rFonts w:ascii="Times New Roman" w:hAnsi="Times New Roman"/>
                <w:sz w:val="24"/>
                <w:szCs w:val="24"/>
              </w:rPr>
              <w:t xml:space="preserve">р UA </w:t>
            </w:r>
            <w:r>
              <w:rPr>
                <w:rFonts w:ascii="Times New Roman" w:hAnsi="Times New Roman"/>
                <w:sz w:val="24"/>
                <w:szCs w:val="24"/>
                <w:lang w:val="uk-UA"/>
              </w:rPr>
              <w:t>958201720344301003400032133</w:t>
            </w:r>
          </w:p>
          <w:p w:rsidR="00EA1CE4" w:rsidRDefault="00EA1CE4" w:rsidP="00EA1CE4">
            <w:pPr>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uk-UA"/>
              </w:rPr>
              <w:t>ДКСУ м.Київ</w:t>
            </w:r>
            <w:r>
              <w:rPr>
                <w:rFonts w:ascii="Times New Roman" w:hAnsi="Times New Roman"/>
                <w:sz w:val="24"/>
                <w:szCs w:val="24"/>
              </w:rPr>
              <w:t>, МФО 820172</w:t>
            </w:r>
          </w:p>
          <w:p w:rsidR="00EA1CE4" w:rsidRDefault="00EA1CE4" w:rsidP="00EA1CE4">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Pr="00B427B5">
              <w:rPr>
                <w:rFonts w:ascii="Times New Roman" w:hAnsi="Times New Roman"/>
                <w:sz w:val="24"/>
                <w:szCs w:val="24"/>
              </w:rPr>
              <w:t>Тел. (05453)5-15-33</w:t>
            </w:r>
          </w:p>
          <w:p w:rsidR="00D07C4C" w:rsidRDefault="00D07C4C" w:rsidP="00D07C4C">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EA1CE4" w:rsidRDefault="00D07C4C" w:rsidP="00D23B22">
            <w:pPr>
              <w:tabs>
                <w:tab w:val="left" w:pos="2712"/>
              </w:tabs>
              <w:suppressAutoHyphens/>
              <w:autoSpaceDE w:val="0"/>
              <w:autoSpaceDN w:val="0"/>
              <w:adjustRightInd w:val="0"/>
              <w:rPr>
                <w:rFonts w:ascii="Times New Roman" w:hAnsi="Times New Roman"/>
                <w:bCs/>
                <w:sz w:val="24"/>
                <w:szCs w:val="24"/>
                <w:lang w:val="uk-UA" w:eastAsia="ar-SA"/>
              </w:rPr>
            </w:pPr>
            <w:r>
              <w:rPr>
                <w:rFonts w:ascii="Times New Roman" w:hAnsi="Times New Roman"/>
                <w:bCs/>
                <w:sz w:val="24"/>
                <w:szCs w:val="24"/>
                <w:lang w:val="uk-UA" w:eastAsia="ar-SA"/>
              </w:rPr>
              <w:t xml:space="preserve">          </w:t>
            </w:r>
            <w:r w:rsidR="00EA1CE4">
              <w:rPr>
                <w:rFonts w:ascii="Times New Roman" w:hAnsi="Times New Roman"/>
                <w:bCs/>
                <w:sz w:val="24"/>
                <w:szCs w:val="24"/>
                <w:lang w:eastAsia="ar-SA"/>
              </w:rPr>
              <w:t>П</w:t>
            </w:r>
            <w:r w:rsidR="00EA1CE4">
              <w:rPr>
                <w:rFonts w:ascii="Times New Roman" w:hAnsi="Times New Roman"/>
                <w:bCs/>
                <w:sz w:val="24"/>
                <w:szCs w:val="24"/>
                <w:lang w:val="uk-UA" w:eastAsia="ar-SA"/>
              </w:rPr>
              <w:t>РОДАВЕЦЬ</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1502DC" w:rsidRDefault="001502DC">
      <w:pPr>
        <w:tabs>
          <w:tab w:val="left" w:pos="4132"/>
        </w:tabs>
      </w:pPr>
    </w:p>
    <w:p w:rsidR="00E705CE" w:rsidRDefault="00E705CE">
      <w:pPr>
        <w:tabs>
          <w:tab w:val="left" w:pos="4132"/>
        </w:tabs>
      </w:pPr>
    </w:p>
    <w:p w:rsidR="00E705CE" w:rsidRDefault="00E705CE">
      <w:pPr>
        <w:tabs>
          <w:tab w:val="left" w:pos="4132"/>
        </w:tabs>
      </w:pPr>
    </w:p>
    <w:p w:rsidR="00E705CE" w:rsidRDefault="00E705CE">
      <w:pPr>
        <w:tabs>
          <w:tab w:val="left" w:pos="4132"/>
        </w:tabs>
      </w:pPr>
    </w:p>
    <w:p w:rsidR="001502DC" w:rsidRDefault="001502DC">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652E8E">
      <w:pPr>
        <w:jc w:val="both"/>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652E8E" w:rsidRPr="00652E8E">
        <w:rPr>
          <w:rFonts w:ascii="Times New Roman" w:hAnsi="Times New Roman"/>
          <w:b/>
          <w:lang w:eastAsia="ar-SA"/>
        </w:rPr>
        <w:t>код ДК 021:2015 – 42510000-4 Теплообмінники, кондиціонери повітря, холодильне обладн</w:t>
      </w:r>
      <w:r w:rsidR="00652E8E">
        <w:rPr>
          <w:rFonts w:ascii="Times New Roman" w:hAnsi="Times New Roman"/>
          <w:b/>
          <w:lang w:eastAsia="ar-SA"/>
        </w:rPr>
        <w:t xml:space="preserve">ання та фільтрувальні пристрої </w:t>
      </w:r>
      <w:r w:rsidR="00652E8E" w:rsidRPr="00652E8E">
        <w:rPr>
          <w:rFonts w:ascii="Times New Roman" w:hAnsi="Times New Roman"/>
          <w:b/>
          <w:lang w:eastAsia="ar-SA"/>
        </w:rPr>
        <w:t>(кондиціонери)</w:t>
      </w:r>
      <w:r w:rsidRPr="00652E8E">
        <w:rPr>
          <w:rFonts w:ascii="Times New Roman" w:hAnsi="Times New Roman"/>
          <w:b/>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протягом 90 (дев’яносто) днів з дати кінцевого строку подання тендерних пропозицій.</w:t>
      </w:r>
      <w:r w:rsidRPr="00C55163">
        <w:rPr>
          <w:rFonts w:ascii="Times New Roman" w:hAnsi="Times New Roman"/>
        </w:rPr>
        <w:t>.</w:t>
      </w:r>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1B" w:rsidRDefault="00BF351B">
      <w:pPr>
        <w:spacing w:line="240" w:lineRule="auto"/>
      </w:pPr>
      <w:r>
        <w:separator/>
      </w:r>
    </w:p>
  </w:endnote>
  <w:endnote w:type="continuationSeparator" w:id="0">
    <w:p w:rsidR="00BF351B" w:rsidRDefault="00BF3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E" w:rsidRDefault="00652E8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259D3">
      <w:rPr>
        <w:noProof/>
        <w:color w:val="000000"/>
      </w:rPr>
      <w:t>1</w:t>
    </w:r>
    <w:r>
      <w:rPr>
        <w:color w:val="000000"/>
      </w:rPr>
      <w:fldChar w:fldCharType="end"/>
    </w:r>
  </w:p>
  <w:p w:rsidR="00652E8E" w:rsidRDefault="00652E8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1B" w:rsidRDefault="00BF351B">
      <w:r>
        <w:separator/>
      </w:r>
    </w:p>
  </w:footnote>
  <w:footnote w:type="continuationSeparator" w:id="0">
    <w:p w:rsidR="00BF351B" w:rsidRDefault="00BF3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49964296"/>
    <w:multiLevelType w:val="hybridMultilevel"/>
    <w:tmpl w:val="28744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7EA71C61"/>
    <w:multiLevelType w:val="hybridMultilevel"/>
    <w:tmpl w:val="D818B6F4"/>
    <w:lvl w:ilvl="0" w:tplc="3BD253B0">
      <w:start w:val="1"/>
      <w:numFmt w:val="decimal"/>
      <w:lvlText w:val="%1)"/>
      <w:lvlJc w:val="left"/>
      <w:pPr>
        <w:ind w:left="773" w:hanging="492"/>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067DC"/>
    <w:rsid w:val="0001609D"/>
    <w:rsid w:val="00023AEB"/>
    <w:rsid w:val="000353EB"/>
    <w:rsid w:val="00041620"/>
    <w:rsid w:val="00061373"/>
    <w:rsid w:val="00073CD9"/>
    <w:rsid w:val="000C1DE3"/>
    <w:rsid w:val="000E0131"/>
    <w:rsid w:val="000E2E82"/>
    <w:rsid w:val="001165BD"/>
    <w:rsid w:val="00120F1E"/>
    <w:rsid w:val="001259D3"/>
    <w:rsid w:val="0013154E"/>
    <w:rsid w:val="001502DC"/>
    <w:rsid w:val="001A2932"/>
    <w:rsid w:val="001E1DA5"/>
    <w:rsid w:val="001E39E3"/>
    <w:rsid w:val="001E764E"/>
    <w:rsid w:val="001F0A76"/>
    <w:rsid w:val="001F7AFE"/>
    <w:rsid w:val="00223C84"/>
    <w:rsid w:val="00262C72"/>
    <w:rsid w:val="00285BE0"/>
    <w:rsid w:val="0029557B"/>
    <w:rsid w:val="002E54FB"/>
    <w:rsid w:val="003135A3"/>
    <w:rsid w:val="0034548D"/>
    <w:rsid w:val="00375367"/>
    <w:rsid w:val="003860E3"/>
    <w:rsid w:val="003B763F"/>
    <w:rsid w:val="003C1586"/>
    <w:rsid w:val="003D20F2"/>
    <w:rsid w:val="003E1BAB"/>
    <w:rsid w:val="003E789C"/>
    <w:rsid w:val="00432BEB"/>
    <w:rsid w:val="00475DBC"/>
    <w:rsid w:val="004E232D"/>
    <w:rsid w:val="00503124"/>
    <w:rsid w:val="00521360"/>
    <w:rsid w:val="00522906"/>
    <w:rsid w:val="00547787"/>
    <w:rsid w:val="00595469"/>
    <w:rsid w:val="005D0CC3"/>
    <w:rsid w:val="005D56F8"/>
    <w:rsid w:val="005D6B2E"/>
    <w:rsid w:val="005F43E0"/>
    <w:rsid w:val="006132E4"/>
    <w:rsid w:val="00646B5A"/>
    <w:rsid w:val="00652E8E"/>
    <w:rsid w:val="0066017E"/>
    <w:rsid w:val="00667B4A"/>
    <w:rsid w:val="00667D75"/>
    <w:rsid w:val="00691434"/>
    <w:rsid w:val="00697A54"/>
    <w:rsid w:val="0071588C"/>
    <w:rsid w:val="00715C04"/>
    <w:rsid w:val="00725DDB"/>
    <w:rsid w:val="007609AA"/>
    <w:rsid w:val="007C45E0"/>
    <w:rsid w:val="007F73EB"/>
    <w:rsid w:val="00814E11"/>
    <w:rsid w:val="00822E9C"/>
    <w:rsid w:val="0083250E"/>
    <w:rsid w:val="00872780"/>
    <w:rsid w:val="008A0144"/>
    <w:rsid w:val="009058CA"/>
    <w:rsid w:val="00910A53"/>
    <w:rsid w:val="00925028"/>
    <w:rsid w:val="00925115"/>
    <w:rsid w:val="0094122E"/>
    <w:rsid w:val="0094293F"/>
    <w:rsid w:val="00964AE2"/>
    <w:rsid w:val="00971609"/>
    <w:rsid w:val="00973134"/>
    <w:rsid w:val="009800A9"/>
    <w:rsid w:val="009960D5"/>
    <w:rsid w:val="009C7DE4"/>
    <w:rsid w:val="009D5AFA"/>
    <w:rsid w:val="00A3127F"/>
    <w:rsid w:val="00A37D5F"/>
    <w:rsid w:val="00A62583"/>
    <w:rsid w:val="00A66F1D"/>
    <w:rsid w:val="00AD2E47"/>
    <w:rsid w:val="00B1350B"/>
    <w:rsid w:val="00B13920"/>
    <w:rsid w:val="00B23E85"/>
    <w:rsid w:val="00B279E7"/>
    <w:rsid w:val="00BA51F1"/>
    <w:rsid w:val="00BD4291"/>
    <w:rsid w:val="00BF22CB"/>
    <w:rsid w:val="00BF351B"/>
    <w:rsid w:val="00C363EE"/>
    <w:rsid w:val="00C55163"/>
    <w:rsid w:val="00C6681C"/>
    <w:rsid w:val="00C76122"/>
    <w:rsid w:val="00CB2CA0"/>
    <w:rsid w:val="00CC35D1"/>
    <w:rsid w:val="00CD5CA6"/>
    <w:rsid w:val="00CE6D4A"/>
    <w:rsid w:val="00CF25D9"/>
    <w:rsid w:val="00D070A1"/>
    <w:rsid w:val="00D07C4C"/>
    <w:rsid w:val="00D15360"/>
    <w:rsid w:val="00D20DA0"/>
    <w:rsid w:val="00D23B22"/>
    <w:rsid w:val="00D41E3D"/>
    <w:rsid w:val="00D56FF7"/>
    <w:rsid w:val="00D73B60"/>
    <w:rsid w:val="00DA706C"/>
    <w:rsid w:val="00DE4DCE"/>
    <w:rsid w:val="00DF6818"/>
    <w:rsid w:val="00E07441"/>
    <w:rsid w:val="00E200F1"/>
    <w:rsid w:val="00E23CCB"/>
    <w:rsid w:val="00E705CE"/>
    <w:rsid w:val="00EA1CE4"/>
    <w:rsid w:val="00EB57BA"/>
    <w:rsid w:val="00EB7A48"/>
    <w:rsid w:val="00EC7C44"/>
    <w:rsid w:val="00ED7509"/>
    <w:rsid w:val="00EE1F78"/>
    <w:rsid w:val="00F1067F"/>
    <w:rsid w:val="00F11FA2"/>
    <w:rsid w:val="00F43B49"/>
    <w:rsid w:val="00F645F5"/>
    <w:rsid w:val="00FB0509"/>
    <w:rsid w:val="00FC4898"/>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D00"/>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link w:val="af5"/>
    <w:uiPriority w:val="34"/>
    <w:qFormat/>
    <w:pPr>
      <w:ind w:left="720"/>
      <w:contextualSpacing/>
    </w:pPr>
  </w:style>
  <w:style w:type="paragraph" w:styleId="af6">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7">
    <w:name w:val="Intense Quote"/>
    <w:basedOn w:val="a"/>
    <w:next w:val="a"/>
    <w:link w:val="af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8">
    <w:name w:val="Выделенная цитата Знак"/>
    <w:link w:val="af7"/>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9">
    <w:name w:val="Strong"/>
    <w:qFormat/>
    <w:rsid w:val="005F43E0"/>
    <w:rPr>
      <w:rFonts w:cs="Times New Roman"/>
      <w:b/>
      <w:bCs/>
    </w:rPr>
  </w:style>
  <w:style w:type="paragraph" w:styleId="afa">
    <w:name w:val="Body Text"/>
    <w:basedOn w:val="a"/>
    <w:link w:val="afb"/>
    <w:rsid w:val="005F43E0"/>
    <w:pPr>
      <w:suppressAutoHyphens/>
      <w:autoSpaceDE w:val="0"/>
      <w:spacing w:after="120" w:line="240" w:lineRule="auto"/>
      <w:jc w:val="both"/>
    </w:pPr>
    <w:rPr>
      <w:rFonts w:eastAsia="Times New Roman"/>
      <w:sz w:val="20"/>
      <w:szCs w:val="20"/>
      <w:lang w:val="en-GB" w:eastAsia="zh-CN"/>
    </w:rPr>
  </w:style>
  <w:style w:type="character" w:customStyle="1" w:styleId="afb">
    <w:name w:val="Основной текст Знак"/>
    <w:basedOn w:val="a0"/>
    <w:link w:val="afa"/>
    <w:rsid w:val="005F43E0"/>
    <w:rPr>
      <w:rFonts w:ascii="Arial" w:eastAsia="Times New Roman" w:hAnsi="Arial" w:cs="Arial"/>
      <w:lang w:val="en-GB" w:eastAsia="zh-CN"/>
    </w:rPr>
  </w:style>
  <w:style w:type="paragraph" w:customStyle="1" w:styleId="afc">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d">
    <w:name w:val="Balloon Text"/>
    <w:basedOn w:val="a"/>
    <w:link w:val="afe"/>
    <w:uiPriority w:val="99"/>
    <w:semiHidden/>
    <w:unhideWhenUsed/>
    <w:rsid w:val="000C1DE3"/>
    <w:pPr>
      <w:spacing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0C1DE3"/>
    <w:rPr>
      <w:rFonts w:ascii="Segoe UI" w:eastAsia="Arial" w:hAnsi="Segoe UI" w:cs="Segoe UI"/>
      <w:sz w:val="18"/>
      <w:szCs w:val="18"/>
    </w:rPr>
  </w:style>
  <w:style w:type="character" w:customStyle="1" w:styleId="af5">
    <w:name w:val="Абзац списка Знак"/>
    <w:link w:val="af4"/>
    <w:uiPriority w:val="34"/>
    <w:locked/>
    <w:rsid w:val="00652E8E"/>
    <w:rPr>
      <w:rFonts w:ascii="Arial" w:eastAsia="Arial" w:hAnsi="Arial" w:cs="Arial"/>
      <w:sz w:val="22"/>
      <w:szCs w:val="22"/>
    </w:rPr>
  </w:style>
  <w:style w:type="character" w:customStyle="1" w:styleId="0pt">
    <w:name w:val="Основной текст + Интервал 0 pt"/>
    <w:rsid w:val="00521360"/>
    <w:rPr>
      <w:rFonts w:ascii="Times New Roman" w:hAnsi="Times New Roman"/>
      <w:spacing w:val="1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14646</Words>
  <Characters>83485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2</cp:revision>
  <cp:lastPrinted>2024-04-09T13:15:00Z</cp:lastPrinted>
  <dcterms:created xsi:type="dcterms:W3CDTF">2024-04-09T13:17:00Z</dcterms:created>
  <dcterms:modified xsi:type="dcterms:W3CDTF">2024-04-09T13:17:00Z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