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7435BF">
        <w:rPr>
          <w:rFonts w:ascii="Times New Roman" w:hAnsi="Times New Roman" w:cs="Times New Roman"/>
          <w:bCs/>
          <w:i/>
          <w:sz w:val="20"/>
          <w:szCs w:val="20"/>
          <w:lang w:val="uk-UA"/>
        </w:rPr>
        <w:t xml:space="preserve">84 </w:t>
      </w:r>
      <w:r w:rsidRPr="00A17675">
        <w:rPr>
          <w:rFonts w:ascii="Times New Roman" w:hAnsi="Times New Roman" w:cs="Times New Roman"/>
          <w:bCs/>
          <w:i/>
          <w:sz w:val="20"/>
          <w:szCs w:val="20"/>
          <w:lang w:val="uk-UA"/>
        </w:rPr>
        <w:t>від</w:t>
      </w:r>
      <w:r w:rsidR="00E22BC4">
        <w:rPr>
          <w:rFonts w:ascii="Times New Roman" w:hAnsi="Times New Roman" w:cs="Times New Roman"/>
          <w:bCs/>
          <w:i/>
          <w:sz w:val="20"/>
          <w:szCs w:val="20"/>
          <w:lang w:val="uk-UA"/>
        </w:rPr>
        <w:t xml:space="preserve"> </w:t>
      </w:r>
      <w:r w:rsidR="007435BF">
        <w:rPr>
          <w:rFonts w:ascii="Times New Roman" w:hAnsi="Times New Roman" w:cs="Times New Roman"/>
          <w:bCs/>
          <w:i/>
          <w:sz w:val="20"/>
          <w:szCs w:val="20"/>
          <w:lang w:val="uk-UA"/>
        </w:rPr>
        <w:t>14.02</w:t>
      </w:r>
      <w:r w:rsidR="003A3806">
        <w:rPr>
          <w:rFonts w:ascii="Times New Roman" w:hAnsi="Times New Roman" w:cs="Times New Roman"/>
          <w:bCs/>
          <w:i/>
          <w:sz w:val="20"/>
          <w:szCs w:val="20"/>
          <w:lang w:val="uk-UA"/>
        </w:rPr>
        <w:t>.</w:t>
      </w:r>
      <w:r w:rsidR="00B65F12">
        <w:rPr>
          <w:rFonts w:ascii="Times New Roman" w:hAnsi="Times New Roman" w:cs="Times New Roman"/>
          <w:bCs/>
          <w:i/>
          <w:sz w:val="20"/>
          <w:szCs w:val="20"/>
          <w:lang w:val="uk-UA"/>
        </w:rPr>
        <w:t>2023</w:t>
      </w:r>
      <w:r w:rsidRPr="00A17675">
        <w:rPr>
          <w:rFonts w:ascii="Times New Roman" w:hAnsi="Times New Roman" w:cs="Times New Roman"/>
          <w:bCs/>
          <w:i/>
          <w:sz w:val="20"/>
          <w:szCs w:val="20"/>
          <w:lang w:val="uk-UA"/>
        </w:rPr>
        <w:t>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на закупівлю</w:t>
      </w:r>
      <w:r w:rsidR="00565F3C">
        <w:rPr>
          <w:rFonts w:ascii="Times New Roman" w:hAnsi="Times New Roman"/>
          <w:sz w:val="28"/>
          <w:szCs w:val="28"/>
          <w:lang w:val="uk-UA"/>
        </w:rPr>
        <w:t>:</w:t>
      </w:r>
    </w:p>
    <w:p w:rsidR="004C0A2F" w:rsidRDefault="004C0A2F" w:rsidP="004C0A2F">
      <w:pPr>
        <w:spacing w:after="0" w:line="240" w:lineRule="auto"/>
        <w:jc w:val="center"/>
        <w:rPr>
          <w:rFonts w:ascii="Times New Roman" w:hAnsi="Times New Roman"/>
          <w:sz w:val="28"/>
          <w:szCs w:val="28"/>
          <w:lang w:val="uk-UA"/>
        </w:rPr>
      </w:pPr>
    </w:p>
    <w:p w:rsidR="007325A2" w:rsidRPr="00C075E6" w:rsidRDefault="007325A2" w:rsidP="001622F3">
      <w:pPr>
        <w:spacing w:after="0"/>
        <w:jc w:val="center"/>
        <w:rPr>
          <w:rFonts w:ascii="Times New Roman" w:hAnsi="Times New Roman" w:cs="Times New Roman"/>
          <w:b/>
          <w:bCs/>
          <w:color w:val="020306"/>
          <w:sz w:val="20"/>
          <w:szCs w:val="20"/>
        </w:rPr>
      </w:pPr>
    </w:p>
    <w:p w:rsidR="007325A2" w:rsidRPr="00DE45B1" w:rsidRDefault="00C075E6" w:rsidP="001622F3">
      <w:pPr>
        <w:spacing w:after="0"/>
        <w:jc w:val="center"/>
        <w:rPr>
          <w:rFonts w:ascii="Times New Roman" w:hAnsi="Times New Roman" w:cs="Times New Roman"/>
          <w:b/>
          <w:bCs/>
          <w:color w:val="020306"/>
          <w:sz w:val="20"/>
          <w:szCs w:val="20"/>
          <w:lang w:val="uk-UA"/>
        </w:rPr>
      </w:pPr>
      <w:r w:rsidRPr="00834532">
        <w:rPr>
          <w:rFonts w:ascii="Times New Roman" w:hAnsi="Times New Roman" w:cs="Times New Roman"/>
          <w:b/>
          <w:bCs/>
          <w:i/>
          <w:sz w:val="24"/>
          <w:szCs w:val="24"/>
        </w:rPr>
        <w:t>Джерела безперебійного живлення</w:t>
      </w:r>
      <w:r w:rsidRPr="00834532">
        <w:rPr>
          <w:rFonts w:ascii="Times New Roman" w:hAnsi="Times New Roman" w:cs="Times New Roman"/>
          <w:b/>
          <w:bCs/>
          <w:i/>
          <w:sz w:val="24"/>
          <w:szCs w:val="24"/>
          <w:lang w:val="uk-UA"/>
        </w:rPr>
        <w:t xml:space="preserve"> </w:t>
      </w:r>
      <w:r w:rsidRPr="00834532">
        <w:rPr>
          <w:rFonts w:ascii="Times New Roman" w:hAnsi="Times New Roman" w:cs="Times New Roman"/>
          <w:b/>
          <w:bCs/>
          <w:i/>
          <w:sz w:val="24"/>
          <w:szCs w:val="24"/>
          <w:lang w:val="en-US"/>
        </w:rPr>
        <w:t>IPS</w:t>
      </w:r>
      <w:r w:rsidRPr="00834532">
        <w:rPr>
          <w:rFonts w:ascii="Times New Roman" w:hAnsi="Times New Roman" w:cs="Times New Roman"/>
          <w:b/>
          <w:bCs/>
          <w:i/>
          <w:sz w:val="24"/>
          <w:szCs w:val="24"/>
          <w:lang w:val="uk-UA"/>
        </w:rPr>
        <w:t xml:space="preserve"> 13,8</w:t>
      </w:r>
      <w:r w:rsidRPr="00834532">
        <w:rPr>
          <w:rFonts w:ascii="Times New Roman" w:hAnsi="Times New Roman" w:cs="Times New Roman"/>
          <w:b/>
          <w:bCs/>
          <w:i/>
          <w:sz w:val="24"/>
          <w:szCs w:val="24"/>
        </w:rPr>
        <w:t>V</w:t>
      </w:r>
      <w:r w:rsidRPr="00834532">
        <w:rPr>
          <w:rFonts w:ascii="Times New Roman" w:hAnsi="Times New Roman" w:cs="Times New Roman"/>
          <w:b/>
          <w:bCs/>
          <w:i/>
          <w:sz w:val="24"/>
          <w:szCs w:val="24"/>
          <w:lang w:val="uk-UA"/>
        </w:rPr>
        <w:t>/15</w:t>
      </w:r>
      <w:r w:rsidRPr="00834532">
        <w:rPr>
          <w:rFonts w:ascii="Times New Roman" w:hAnsi="Times New Roman" w:cs="Times New Roman"/>
          <w:b/>
          <w:bCs/>
          <w:i/>
          <w:sz w:val="24"/>
          <w:szCs w:val="24"/>
        </w:rPr>
        <w:t>А – ВМ з переключенням на резервне джерело живлення, код</w:t>
      </w:r>
      <w:r w:rsidRPr="00834532">
        <w:rPr>
          <w:rFonts w:ascii="Times New Roman" w:hAnsi="Times New Roman" w:cs="Times New Roman"/>
          <w:color w:val="454545"/>
          <w:sz w:val="24"/>
          <w:szCs w:val="24"/>
        </w:rPr>
        <w:t> </w:t>
      </w:r>
      <w:r w:rsidRPr="00834532">
        <w:rPr>
          <w:rFonts w:ascii="Times New Roman" w:hAnsi="Times New Roman" w:cs="Times New Roman"/>
          <w:b/>
          <w:i/>
          <w:color w:val="000000"/>
          <w:sz w:val="24"/>
          <w:szCs w:val="24"/>
        </w:rPr>
        <w:t>31154000-0 - джерела безперебійного живлення</w:t>
      </w:r>
      <w:r w:rsidRPr="00834532">
        <w:rPr>
          <w:rFonts w:ascii="Times New Roman" w:hAnsi="Times New Roman" w:cs="Times New Roman"/>
          <w:b/>
          <w:i/>
          <w:sz w:val="24"/>
          <w:szCs w:val="24"/>
        </w:rPr>
        <w:t xml:space="preserve">», </w:t>
      </w:r>
      <w:r w:rsidRPr="00834532">
        <w:rPr>
          <w:rFonts w:ascii="Times New Roman" w:hAnsi="Times New Roman" w:cs="Times New Roman"/>
          <w:b/>
          <w:sz w:val="24"/>
          <w:szCs w:val="24"/>
        </w:rPr>
        <w:t>код ДК</w:t>
      </w:r>
      <w:r w:rsidRPr="00834532">
        <w:rPr>
          <w:rFonts w:ascii="Times New Roman" w:hAnsi="Times New Roman" w:cs="Times New Roman"/>
          <w:sz w:val="24"/>
          <w:szCs w:val="24"/>
        </w:rPr>
        <w:t xml:space="preserve"> </w:t>
      </w:r>
      <w:r w:rsidRPr="00834532">
        <w:rPr>
          <w:rFonts w:ascii="Times New Roman" w:hAnsi="Times New Roman" w:cs="Times New Roman"/>
          <w:b/>
          <w:sz w:val="24"/>
          <w:szCs w:val="24"/>
        </w:rPr>
        <w:t xml:space="preserve">021:2015 - 31150000-2 - </w:t>
      </w:r>
      <w:r w:rsidRPr="00834532">
        <w:rPr>
          <w:rFonts w:ascii="Times New Roman" w:hAnsi="Times New Roman" w:cs="Times New Roman"/>
          <w:b/>
          <w:color w:val="000000"/>
          <w:sz w:val="24"/>
          <w:szCs w:val="24"/>
        </w:rPr>
        <w:t>баласти для розрядних ламп чи трубок</w:t>
      </w: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Pr="00DE45B1" w:rsidRDefault="00A27155"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A27155"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Default="00CB18A5" w:rsidP="00CB18A5">
      <w:pPr>
        <w:spacing w:after="0" w:line="240" w:lineRule="auto"/>
        <w:jc w:val="center"/>
        <w:rPr>
          <w:rFonts w:ascii="Times New Roman" w:hAnsi="Times New Roman"/>
          <w:b/>
          <w:bCs/>
          <w:sz w:val="20"/>
          <w:szCs w:val="20"/>
          <w:lang w:val="uk-UA"/>
        </w:rPr>
      </w:pPr>
    </w:p>
    <w:p w:rsidR="00C075E6" w:rsidRDefault="00C075E6" w:rsidP="00CB18A5">
      <w:pPr>
        <w:spacing w:after="0" w:line="240" w:lineRule="auto"/>
        <w:jc w:val="center"/>
        <w:rPr>
          <w:rFonts w:ascii="Times New Roman" w:hAnsi="Times New Roman"/>
          <w:b/>
          <w:bCs/>
          <w:sz w:val="20"/>
          <w:szCs w:val="20"/>
          <w:lang w:val="uk-UA"/>
        </w:rPr>
      </w:pPr>
    </w:p>
    <w:p w:rsidR="00C075E6" w:rsidRDefault="00C075E6" w:rsidP="00CB18A5">
      <w:pPr>
        <w:spacing w:after="0" w:line="240" w:lineRule="auto"/>
        <w:jc w:val="center"/>
        <w:rPr>
          <w:rFonts w:ascii="Times New Roman" w:hAnsi="Times New Roman"/>
          <w:b/>
          <w:bCs/>
          <w:sz w:val="20"/>
          <w:szCs w:val="20"/>
          <w:lang w:val="uk-UA"/>
        </w:rPr>
      </w:pPr>
    </w:p>
    <w:p w:rsidR="00C075E6" w:rsidRDefault="00C075E6" w:rsidP="00CB18A5">
      <w:pPr>
        <w:spacing w:after="0" w:line="240" w:lineRule="auto"/>
        <w:jc w:val="center"/>
        <w:rPr>
          <w:rFonts w:ascii="Times New Roman" w:hAnsi="Times New Roman"/>
          <w:b/>
          <w:bCs/>
          <w:sz w:val="20"/>
          <w:szCs w:val="20"/>
          <w:lang w:val="uk-UA"/>
        </w:rPr>
      </w:pPr>
    </w:p>
    <w:p w:rsidR="00C075E6" w:rsidRDefault="00C075E6" w:rsidP="00CB18A5">
      <w:pPr>
        <w:spacing w:after="0" w:line="240" w:lineRule="auto"/>
        <w:jc w:val="center"/>
        <w:rPr>
          <w:rFonts w:ascii="Times New Roman" w:hAnsi="Times New Roman"/>
          <w:b/>
          <w:bCs/>
          <w:sz w:val="20"/>
          <w:szCs w:val="20"/>
          <w:lang w:val="uk-UA"/>
        </w:rPr>
      </w:pPr>
    </w:p>
    <w:p w:rsidR="00C075E6" w:rsidRDefault="00C075E6" w:rsidP="00CB18A5">
      <w:pPr>
        <w:spacing w:after="0" w:line="240" w:lineRule="auto"/>
        <w:jc w:val="center"/>
        <w:rPr>
          <w:rFonts w:ascii="Times New Roman" w:hAnsi="Times New Roman"/>
          <w:b/>
          <w:bCs/>
          <w:sz w:val="20"/>
          <w:szCs w:val="20"/>
          <w:lang w:val="uk-UA"/>
        </w:rPr>
      </w:pPr>
    </w:p>
    <w:p w:rsidR="00C075E6" w:rsidRPr="00C075E6" w:rsidRDefault="00C075E6"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9638A4" w:rsidRDefault="009638A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BE4F72" w:rsidRPr="003E37D9" w:rsidRDefault="00495A91" w:rsidP="00C075E6">
            <w:pPr>
              <w:tabs>
                <w:tab w:val="left" w:pos="-567"/>
              </w:tabs>
              <w:spacing w:after="0" w:line="20" w:lineRule="atLeast"/>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По технічних питаннях: </w:t>
            </w:r>
            <w:r w:rsidR="002F1580">
              <w:rPr>
                <w:rFonts w:ascii="Times New Roman" w:hAnsi="Times New Roman" w:cs="Times New Roman"/>
                <w:sz w:val="20"/>
                <w:szCs w:val="20"/>
                <w:lang w:val="uk-UA"/>
              </w:rPr>
              <w:t xml:space="preserve">Пронишин Руслан Михайлович – начальник ВТК СКС УІАП ГУНП </w:t>
            </w:r>
            <w:r w:rsidR="002F1580" w:rsidRPr="00D66A79">
              <w:rPr>
                <w:rFonts w:ascii="Times New Roman" w:hAnsi="Times New Roman" w:cs="Times New Roman"/>
                <w:sz w:val="20"/>
                <w:szCs w:val="20"/>
                <w:lang w:val="uk-UA"/>
              </w:rPr>
              <w:t>в Тернопільській області, тел.</w:t>
            </w:r>
            <w:r w:rsidR="002F1580">
              <w:rPr>
                <w:rFonts w:ascii="Times New Roman" w:hAnsi="Times New Roman" w:cs="Times New Roman"/>
                <w:sz w:val="20"/>
                <w:szCs w:val="20"/>
                <w:lang w:val="uk-UA"/>
              </w:rPr>
              <w:t xml:space="preserve"> (097) 3849248.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9638A4" w:rsidTr="009638A4">
        <w:trPr>
          <w:trHeight w:val="802"/>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C075E6" w:rsidRDefault="00C075E6" w:rsidP="00C075E6">
            <w:pPr>
              <w:spacing w:after="0" w:line="240" w:lineRule="auto"/>
              <w:rPr>
                <w:rFonts w:ascii="Times New Roman" w:hAnsi="Times New Roman" w:cs="Times New Roman"/>
                <w:b/>
                <w:bCs/>
                <w:spacing w:val="-1"/>
                <w:sz w:val="20"/>
                <w:szCs w:val="20"/>
                <w:lang w:val="uk-UA" w:eastAsia="en-US"/>
              </w:rPr>
            </w:pPr>
            <w:r w:rsidRPr="00C075E6">
              <w:rPr>
                <w:rFonts w:ascii="Times New Roman" w:hAnsi="Times New Roman" w:cs="Times New Roman"/>
                <w:b/>
                <w:bCs/>
                <w:i/>
                <w:sz w:val="20"/>
                <w:szCs w:val="20"/>
              </w:rPr>
              <w:t>Джерела безперебійного живлення</w:t>
            </w:r>
            <w:r w:rsidRPr="00C075E6">
              <w:rPr>
                <w:rFonts w:ascii="Times New Roman" w:hAnsi="Times New Roman" w:cs="Times New Roman"/>
                <w:b/>
                <w:bCs/>
                <w:i/>
                <w:sz w:val="20"/>
                <w:szCs w:val="20"/>
                <w:lang w:val="uk-UA"/>
              </w:rPr>
              <w:t xml:space="preserve"> </w:t>
            </w:r>
            <w:r w:rsidRPr="00C075E6">
              <w:rPr>
                <w:rFonts w:ascii="Times New Roman" w:hAnsi="Times New Roman" w:cs="Times New Roman"/>
                <w:b/>
                <w:bCs/>
                <w:i/>
                <w:sz w:val="20"/>
                <w:szCs w:val="20"/>
                <w:lang w:val="en-US"/>
              </w:rPr>
              <w:t>IPS</w:t>
            </w:r>
            <w:r w:rsidRPr="00C075E6">
              <w:rPr>
                <w:rFonts w:ascii="Times New Roman" w:hAnsi="Times New Roman" w:cs="Times New Roman"/>
                <w:b/>
                <w:bCs/>
                <w:i/>
                <w:sz w:val="20"/>
                <w:szCs w:val="20"/>
                <w:lang w:val="uk-UA"/>
              </w:rPr>
              <w:t xml:space="preserve"> 13,8</w:t>
            </w:r>
            <w:r w:rsidRPr="00C075E6">
              <w:rPr>
                <w:rFonts w:ascii="Times New Roman" w:hAnsi="Times New Roman" w:cs="Times New Roman"/>
                <w:b/>
                <w:bCs/>
                <w:i/>
                <w:sz w:val="20"/>
                <w:szCs w:val="20"/>
              </w:rPr>
              <w:t>V</w:t>
            </w:r>
            <w:r w:rsidRPr="00C075E6">
              <w:rPr>
                <w:rFonts w:ascii="Times New Roman" w:hAnsi="Times New Roman" w:cs="Times New Roman"/>
                <w:b/>
                <w:bCs/>
                <w:i/>
                <w:sz w:val="20"/>
                <w:szCs w:val="20"/>
                <w:lang w:val="uk-UA"/>
              </w:rPr>
              <w:t>/15</w:t>
            </w:r>
            <w:r w:rsidRPr="00C075E6">
              <w:rPr>
                <w:rFonts w:ascii="Times New Roman" w:hAnsi="Times New Roman" w:cs="Times New Roman"/>
                <w:b/>
                <w:bCs/>
                <w:i/>
                <w:sz w:val="20"/>
                <w:szCs w:val="20"/>
              </w:rPr>
              <w:t>А – ВМ з переключенням на резервне джерело живлення, код</w:t>
            </w:r>
            <w:r w:rsidRPr="00C075E6">
              <w:rPr>
                <w:rFonts w:ascii="Times New Roman" w:hAnsi="Times New Roman" w:cs="Times New Roman"/>
                <w:color w:val="454545"/>
                <w:sz w:val="20"/>
                <w:szCs w:val="20"/>
              </w:rPr>
              <w:t> </w:t>
            </w:r>
            <w:r w:rsidRPr="00C075E6">
              <w:rPr>
                <w:rFonts w:ascii="Times New Roman" w:hAnsi="Times New Roman" w:cs="Times New Roman"/>
                <w:b/>
                <w:i/>
                <w:color w:val="000000"/>
                <w:sz w:val="20"/>
                <w:szCs w:val="20"/>
              </w:rPr>
              <w:t>31154000-0 - джерела безперебійного живлення</w:t>
            </w:r>
            <w:r w:rsidRPr="00C075E6">
              <w:rPr>
                <w:rFonts w:ascii="Times New Roman" w:hAnsi="Times New Roman" w:cs="Times New Roman"/>
                <w:b/>
                <w:i/>
                <w:sz w:val="20"/>
                <w:szCs w:val="20"/>
              </w:rPr>
              <w:t xml:space="preserve">», </w:t>
            </w:r>
            <w:r w:rsidRPr="00C075E6">
              <w:rPr>
                <w:rFonts w:ascii="Times New Roman" w:hAnsi="Times New Roman" w:cs="Times New Roman"/>
                <w:b/>
                <w:sz w:val="20"/>
                <w:szCs w:val="20"/>
              </w:rPr>
              <w:t>код ДК</w:t>
            </w:r>
            <w:r w:rsidRPr="00C075E6">
              <w:rPr>
                <w:rFonts w:ascii="Times New Roman" w:hAnsi="Times New Roman" w:cs="Times New Roman"/>
                <w:sz w:val="20"/>
                <w:szCs w:val="20"/>
              </w:rPr>
              <w:t xml:space="preserve"> </w:t>
            </w:r>
            <w:r w:rsidRPr="00C075E6">
              <w:rPr>
                <w:rFonts w:ascii="Times New Roman" w:hAnsi="Times New Roman" w:cs="Times New Roman"/>
                <w:b/>
                <w:sz w:val="20"/>
                <w:szCs w:val="20"/>
              </w:rPr>
              <w:t xml:space="preserve">021:2015 - 31150000-2 - </w:t>
            </w:r>
            <w:r w:rsidRPr="00C075E6">
              <w:rPr>
                <w:rFonts w:ascii="Times New Roman" w:hAnsi="Times New Roman" w:cs="Times New Roman"/>
                <w:b/>
                <w:color w:val="000000"/>
                <w:sz w:val="20"/>
                <w:szCs w:val="20"/>
              </w:rPr>
              <w:t>баласти для розрядних ламп чи трубок</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3A380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3A3806">
              <w:rPr>
                <w:rFonts w:ascii="Times New Roman" w:hAnsi="Times New Roman" w:cs="Times New Roman"/>
                <w:b/>
                <w:sz w:val="20"/>
                <w:szCs w:val="20"/>
                <w:lang w:val="uk-UA"/>
              </w:rPr>
              <w:t>10.03.</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7435BF"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7435BF"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7435BF"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3E37D9" w:rsidRPr="007435BF">
              <w:rPr>
                <w:rFonts w:ascii="Times New Roman" w:eastAsia="Times New Roman" w:hAnsi="Times New Roman" w:cs="Times New Roman"/>
                <w:b/>
                <w:sz w:val="20"/>
                <w:szCs w:val="20"/>
                <w:highlight w:val="yellow"/>
                <w:u w:val="single"/>
              </w:rPr>
              <w:t>22</w:t>
            </w:r>
            <w:r w:rsidR="003A3806" w:rsidRPr="006C7E9D">
              <w:rPr>
                <w:rFonts w:ascii="Times New Roman" w:eastAsia="Times New Roman" w:hAnsi="Times New Roman" w:cs="Times New Roman"/>
                <w:b/>
                <w:sz w:val="20"/>
                <w:szCs w:val="20"/>
                <w:highlight w:val="yellow"/>
                <w:u w:val="single"/>
                <w:lang w:val="uk-UA"/>
              </w:rPr>
              <w:t>.02.</w:t>
            </w:r>
            <w:r w:rsidR="004F3F61">
              <w:rPr>
                <w:rFonts w:ascii="Times New Roman" w:eastAsia="Times New Roman" w:hAnsi="Times New Roman" w:cs="Times New Roman"/>
                <w:b/>
                <w:sz w:val="20"/>
                <w:szCs w:val="20"/>
                <w:highlight w:val="yellow"/>
                <w:u w:val="single"/>
                <w:lang w:val="uk-UA"/>
              </w:rPr>
              <w:t>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45FFB" w:rsidRDefault="00D45FFB" w:rsidP="009D178F">
            <w:pPr>
              <w:pStyle w:val="a3"/>
              <w:spacing w:before="0" w:after="0"/>
              <w:jc w:val="both"/>
              <w:rPr>
                <w:color w:val="000000"/>
                <w:sz w:val="20"/>
                <w:szCs w:val="20"/>
                <w:lang w:val="uk-UA"/>
              </w:rPr>
            </w:pPr>
          </w:p>
          <w:p w:rsidR="009D178F" w:rsidRDefault="009D178F" w:rsidP="009D178F">
            <w:pPr>
              <w:pStyle w:val="a3"/>
              <w:spacing w:before="0" w:after="0"/>
              <w:jc w:val="both"/>
            </w:pPr>
            <w:r w:rsidRPr="009D178F">
              <w:rPr>
                <w:color w:val="000000"/>
                <w:sz w:val="20"/>
                <w:szCs w:val="20"/>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D45FFB" w:rsidRDefault="009D178F" w:rsidP="009D178F">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D45FFB" w:rsidRDefault="00D45FFB"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lastRenderedPageBreak/>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45FFB" w:rsidRDefault="007325A2" w:rsidP="00D75E1C">
            <w:pPr>
              <w:spacing w:after="0" w:line="240" w:lineRule="auto"/>
              <w:jc w:val="both"/>
              <w:rPr>
                <w:rFonts w:ascii="Times New Roman" w:eastAsia="Times New Roman" w:hAnsi="Times New Roman" w:cs="Times New Roman"/>
                <w:b/>
                <w:color w:val="FF0000"/>
                <w:sz w:val="20"/>
                <w:szCs w:val="20"/>
                <w:lang w:val="uk-UA" w:eastAsia="uk-UA"/>
              </w:rPr>
            </w:pPr>
            <w:bookmarkStart w:id="3" w:name="h.3rdcrjn" w:colFirst="0" w:colLast="0"/>
            <w:bookmarkEnd w:id="3"/>
            <w:r w:rsidRPr="00D45FFB">
              <w:rPr>
                <w:rFonts w:ascii="Times New Roman" w:eastAsia="Times New Roman" w:hAnsi="Times New Roman" w:cs="Times New Roman"/>
                <w:b/>
                <w:color w:val="FF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5FFB" w:rsidRDefault="007325A2" w:rsidP="00D75E1C">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 xml:space="preserve">У разі, якщо місцезнаходження учасника зареєстроване на тимчасово окупованій території, учасник має надати підтвердження зміни </w:t>
            </w:r>
          </w:p>
          <w:p w:rsidR="00D45FFB" w:rsidRDefault="00D45FFB" w:rsidP="00D75E1C">
            <w:pPr>
              <w:spacing w:after="0" w:line="240" w:lineRule="auto"/>
              <w:jc w:val="both"/>
              <w:rPr>
                <w:rFonts w:ascii="Times New Roman" w:eastAsia="Times New Roman" w:hAnsi="Times New Roman" w:cs="Times New Roman"/>
                <w:color w:val="000000"/>
                <w:sz w:val="20"/>
                <w:szCs w:val="20"/>
                <w:lang w:val="uk-UA" w:eastAsia="uk-UA"/>
              </w:rPr>
            </w:pP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D45FFB" w:rsidRPr="00D45FFB"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зазначив у тендерній пропозиції недостовірну інформацію, що є суттєвою для визначення результатів відкритих торгів, </w:t>
            </w:r>
          </w:p>
          <w:p w:rsidR="00D45FFB" w:rsidRPr="00D45FFB" w:rsidRDefault="00D45FFB" w:rsidP="00D45FFB">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пункту 39 цих 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w:t>
            </w:r>
            <w:r w:rsidRPr="00D75E1C">
              <w:rPr>
                <w:rFonts w:ascii="Times New Roman" w:eastAsia="Times New Roman" w:hAnsi="Times New Roman" w:cs="Times New Roman"/>
                <w:color w:val="000000"/>
                <w:sz w:val="20"/>
                <w:szCs w:val="20"/>
                <w:lang w:eastAsia="uk-UA"/>
              </w:rPr>
              <w:lastRenderedPageBreak/>
              <w:t xml:space="preserve">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7435BF"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D45FFB" w:rsidRDefault="007325A2" w:rsidP="00D45FFB">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5DB" w:rsidRDefault="008345DB" w:rsidP="005430DC">
      <w:pPr>
        <w:spacing w:after="0" w:line="240" w:lineRule="auto"/>
      </w:pPr>
      <w:r>
        <w:separator/>
      </w:r>
    </w:p>
  </w:endnote>
  <w:endnote w:type="continuationSeparator" w:id="1">
    <w:p w:rsidR="008345DB" w:rsidRDefault="008345DB"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5DB" w:rsidRDefault="008345DB" w:rsidP="005430DC">
      <w:pPr>
        <w:spacing w:after="0" w:line="240" w:lineRule="auto"/>
      </w:pPr>
      <w:r>
        <w:separator/>
      </w:r>
    </w:p>
  </w:footnote>
  <w:footnote w:type="continuationSeparator" w:id="1">
    <w:p w:rsidR="008345DB" w:rsidRDefault="008345DB"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2F1580"/>
    <w:rsid w:val="00307AF6"/>
    <w:rsid w:val="00307D52"/>
    <w:rsid w:val="003118FC"/>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A3806"/>
    <w:rsid w:val="003B5BE9"/>
    <w:rsid w:val="003C4A0C"/>
    <w:rsid w:val="003C650B"/>
    <w:rsid w:val="003D06FA"/>
    <w:rsid w:val="003D4E7A"/>
    <w:rsid w:val="003E0090"/>
    <w:rsid w:val="003E0A90"/>
    <w:rsid w:val="003E25AB"/>
    <w:rsid w:val="003E37D9"/>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2FE9"/>
    <w:rsid w:val="00495A91"/>
    <w:rsid w:val="004968A2"/>
    <w:rsid w:val="004A3354"/>
    <w:rsid w:val="004B2604"/>
    <w:rsid w:val="004B5AD8"/>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0460"/>
    <w:rsid w:val="00552AF1"/>
    <w:rsid w:val="00552CBC"/>
    <w:rsid w:val="0055324D"/>
    <w:rsid w:val="00553BE4"/>
    <w:rsid w:val="00555B08"/>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C75FE"/>
    <w:rsid w:val="006C7E9D"/>
    <w:rsid w:val="006D5BE4"/>
    <w:rsid w:val="006D627D"/>
    <w:rsid w:val="006D670A"/>
    <w:rsid w:val="006D723C"/>
    <w:rsid w:val="006D7D9B"/>
    <w:rsid w:val="006E43E0"/>
    <w:rsid w:val="006E6478"/>
    <w:rsid w:val="006F39A1"/>
    <w:rsid w:val="0070556F"/>
    <w:rsid w:val="00713433"/>
    <w:rsid w:val="00715731"/>
    <w:rsid w:val="0072233B"/>
    <w:rsid w:val="00725EFE"/>
    <w:rsid w:val="007325A2"/>
    <w:rsid w:val="007435BF"/>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3059"/>
    <w:rsid w:val="00826072"/>
    <w:rsid w:val="0082643B"/>
    <w:rsid w:val="008345DB"/>
    <w:rsid w:val="008360CB"/>
    <w:rsid w:val="00837005"/>
    <w:rsid w:val="00850885"/>
    <w:rsid w:val="00851B4A"/>
    <w:rsid w:val="008568C3"/>
    <w:rsid w:val="00857436"/>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3E54"/>
    <w:rsid w:val="0090556F"/>
    <w:rsid w:val="00905D69"/>
    <w:rsid w:val="00912845"/>
    <w:rsid w:val="00912A0E"/>
    <w:rsid w:val="0091349B"/>
    <w:rsid w:val="009158E3"/>
    <w:rsid w:val="009277C5"/>
    <w:rsid w:val="00927E23"/>
    <w:rsid w:val="0093222C"/>
    <w:rsid w:val="00933527"/>
    <w:rsid w:val="00935F17"/>
    <w:rsid w:val="009360CC"/>
    <w:rsid w:val="00946AC8"/>
    <w:rsid w:val="00947434"/>
    <w:rsid w:val="009502CF"/>
    <w:rsid w:val="0095389A"/>
    <w:rsid w:val="009615C2"/>
    <w:rsid w:val="00962230"/>
    <w:rsid w:val="00962E20"/>
    <w:rsid w:val="009638A4"/>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C01BAC"/>
    <w:rsid w:val="00C0300E"/>
    <w:rsid w:val="00C052ED"/>
    <w:rsid w:val="00C075E6"/>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D14"/>
    <w:rsid w:val="00D375C4"/>
    <w:rsid w:val="00D45FFB"/>
    <w:rsid w:val="00D531C1"/>
    <w:rsid w:val="00D55E36"/>
    <w:rsid w:val="00D61752"/>
    <w:rsid w:val="00D62572"/>
    <w:rsid w:val="00D65CAD"/>
    <w:rsid w:val="00D66A79"/>
    <w:rsid w:val="00D67F60"/>
    <w:rsid w:val="00D75E1C"/>
    <w:rsid w:val="00D77032"/>
    <w:rsid w:val="00D80043"/>
    <w:rsid w:val="00D85F32"/>
    <w:rsid w:val="00D93E02"/>
    <w:rsid w:val="00D94806"/>
    <w:rsid w:val="00DB0496"/>
    <w:rsid w:val="00DB665F"/>
    <w:rsid w:val="00DC1551"/>
    <w:rsid w:val="00DC3567"/>
    <w:rsid w:val="00DC35AD"/>
    <w:rsid w:val="00DC5270"/>
    <w:rsid w:val="00DD16CB"/>
    <w:rsid w:val="00DD548D"/>
    <w:rsid w:val="00DE45B1"/>
    <w:rsid w:val="00DE4FAB"/>
    <w:rsid w:val="00DE6020"/>
    <w:rsid w:val="00DF30B6"/>
    <w:rsid w:val="00E026DB"/>
    <w:rsid w:val="00E030A7"/>
    <w:rsid w:val="00E04648"/>
    <w:rsid w:val="00E12DB4"/>
    <w:rsid w:val="00E204C2"/>
    <w:rsid w:val="00E21150"/>
    <w:rsid w:val="00E22BC4"/>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45A2A"/>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6482</Words>
  <Characters>36953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cp:lastPrinted>2023-01-23T13:03:00Z</cp:lastPrinted>
  <dcterms:created xsi:type="dcterms:W3CDTF">2023-01-25T12:39:00Z</dcterms:created>
  <dcterms:modified xsi:type="dcterms:W3CDTF">2023-02-14T15:56:00Z</dcterms:modified>
</cp:coreProperties>
</file>