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5" w:rsidRDefault="00A36925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369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«ЗАТВЕРДЖЕНО»</w:t>
      </w:r>
    </w:p>
    <w:p w:rsidR="00A36925" w:rsidRDefault="00C570CB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="00F81F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ішенням у</w:t>
      </w:r>
      <w:r w:rsidR="00A369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повноваженої особи</w:t>
      </w:r>
    </w:p>
    <w:p w:rsidR="00A36925" w:rsidRPr="00243EE2" w:rsidRDefault="009B3091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11</w:t>
      </w:r>
      <w:r w:rsidR="00A36925" w:rsidRPr="00243E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.07. 2022 року</w:t>
      </w:r>
    </w:p>
    <w:p w:rsidR="00D53C13" w:rsidRPr="00243EE2" w:rsidRDefault="009B3091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(протокол № 25</w:t>
      </w:r>
      <w:r w:rsidR="00A36925" w:rsidRPr="00243E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  <w:r w:rsidR="00D53C13" w:rsidRPr="00243E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</w:t>
      </w:r>
    </w:p>
    <w:p w:rsidR="00D53C13" w:rsidRDefault="00D53C13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6122D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734E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ОГОЛОШЕННЯ ПРО ПРОВЕДЕННЯ СПРОЩЕНОЇ ЗАКУПІВЛІ</w:t>
      </w:r>
    </w:p>
    <w:p w:rsidR="00741736" w:rsidRPr="007734E7" w:rsidRDefault="00741736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(НОВА РЕДАКЦІЯ)</w:t>
      </w:r>
      <w:bookmarkStart w:id="0" w:name="_GoBack"/>
      <w:bookmarkEnd w:id="0"/>
    </w:p>
    <w:p w:rsidR="00EC554A" w:rsidRPr="007734E7" w:rsidRDefault="00EC554A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6122D" w:rsidRPr="007734E7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uk-UA"/>
        </w:rPr>
      </w:pP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32"/>
        <w:gridCol w:w="6367"/>
      </w:tblGrid>
      <w:tr w:rsidR="0026122D" w:rsidRPr="00815DF5" w:rsidTr="00F50D95">
        <w:trPr>
          <w:trHeight w:val="520"/>
        </w:trPr>
        <w:tc>
          <w:tcPr>
            <w:tcW w:w="738" w:type="dxa"/>
          </w:tcPr>
          <w:p w:rsidR="0026122D" w:rsidRPr="00D53C13" w:rsidRDefault="0026122D" w:rsidP="004744A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1</w:t>
            </w:r>
          </w:p>
          <w:p w:rsidR="0026122D" w:rsidRPr="00D53C13" w:rsidRDefault="0026122D" w:rsidP="004744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599" w:type="dxa"/>
            <w:gridSpan w:val="2"/>
          </w:tcPr>
          <w:p w:rsidR="0026122D" w:rsidRPr="00D53C13" w:rsidRDefault="0026122D" w:rsidP="00D5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Інформація про </w:t>
            </w:r>
            <w:r w:rsidR="00190ABB" w:rsidRPr="00D53C13">
              <w:rPr>
                <w:rFonts w:ascii="Times New Roman" w:eastAsia="Times New Roman" w:hAnsi="Times New Roman" w:cs="Times New Roman"/>
                <w:b/>
                <w:lang w:val="uk-UA"/>
              </w:rPr>
              <w:t>замовника</w:t>
            </w:r>
          </w:p>
        </w:tc>
      </w:tr>
      <w:tr w:rsidR="0026122D" w:rsidRPr="00741736" w:rsidTr="00F50D95">
        <w:trPr>
          <w:trHeight w:val="520"/>
        </w:trPr>
        <w:tc>
          <w:tcPr>
            <w:tcW w:w="738" w:type="dxa"/>
          </w:tcPr>
          <w:p w:rsidR="0026122D" w:rsidRPr="00D53C13" w:rsidRDefault="0026122D" w:rsidP="004744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1.1</w:t>
            </w:r>
          </w:p>
        </w:tc>
        <w:tc>
          <w:tcPr>
            <w:tcW w:w="3232" w:type="dxa"/>
          </w:tcPr>
          <w:p w:rsidR="0026122D" w:rsidRPr="00D53C13" w:rsidRDefault="00190ABB" w:rsidP="004744A7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367" w:type="dxa"/>
          </w:tcPr>
          <w:p w:rsidR="0026122D" w:rsidRPr="0086792E" w:rsidRDefault="00FC7346" w:rsidP="00460D9A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FC7346">
              <w:rPr>
                <w:rFonts w:ascii="Times New Roman" w:hAnsi="Times New Roman"/>
                <w:b/>
                <w:color w:val="000000"/>
                <w:lang w:val="uk-UA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</w:p>
        </w:tc>
      </w:tr>
      <w:tr w:rsidR="00190ABB" w:rsidRPr="0086792E" w:rsidTr="003C35C7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1.2</w:t>
            </w:r>
          </w:p>
        </w:tc>
        <w:tc>
          <w:tcPr>
            <w:tcW w:w="3232" w:type="dxa"/>
          </w:tcPr>
          <w:p w:rsidR="00ED48C8" w:rsidRPr="00636983" w:rsidRDefault="00190ABB" w:rsidP="00ED48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місцезнаходження, </w:t>
            </w: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ідентифікаційний код замовника в ЄДРПОУ</w:t>
            </w:r>
          </w:p>
        </w:tc>
        <w:tc>
          <w:tcPr>
            <w:tcW w:w="6367" w:type="dxa"/>
            <w:shd w:val="clear" w:color="auto" w:fill="auto"/>
          </w:tcPr>
          <w:p w:rsidR="00190ABB" w:rsidRPr="00FC7346" w:rsidRDefault="00FC7346" w:rsidP="0019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09001, Київська обл., Сквирський р-н, місто Сквира, вул. </w:t>
            </w:r>
            <w:proofErr w:type="spellStart"/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Богачевського</w:t>
            </w:r>
            <w:proofErr w:type="spellEnd"/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будинок 28</w:t>
            </w:r>
            <w:r w:rsidR="00BC214A"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0ABB" w:rsidRPr="00FC7346" w:rsidRDefault="00A8044D" w:rsidP="0005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190ABB"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 w:rsidR="00FC7346" w:rsidRPr="00FC734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44153671</w:t>
            </w:r>
          </w:p>
          <w:p w:rsidR="00190ABB" w:rsidRPr="004554A9" w:rsidRDefault="00190ABB" w:rsidP="0041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6983" w:rsidRPr="00741736" w:rsidTr="003C35C7">
        <w:trPr>
          <w:trHeight w:val="520"/>
        </w:trPr>
        <w:tc>
          <w:tcPr>
            <w:tcW w:w="738" w:type="dxa"/>
          </w:tcPr>
          <w:p w:rsidR="00636983" w:rsidRPr="00D53C13" w:rsidRDefault="00636983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1.3</w:t>
            </w:r>
          </w:p>
        </w:tc>
        <w:tc>
          <w:tcPr>
            <w:tcW w:w="3232" w:type="dxa"/>
          </w:tcPr>
          <w:p w:rsidR="00636983" w:rsidRPr="00D53C13" w:rsidRDefault="00636983" w:rsidP="00ED48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</w:t>
            </w:r>
          </w:p>
        </w:tc>
        <w:tc>
          <w:tcPr>
            <w:tcW w:w="6367" w:type="dxa"/>
            <w:shd w:val="clear" w:color="auto" w:fill="auto"/>
          </w:tcPr>
          <w:p w:rsidR="00636983" w:rsidRPr="00FC7346" w:rsidRDefault="00636983" w:rsidP="0019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 до пункту 1 частини першої ст.2  Закону України «Про публічні закупівлі» .</w:t>
            </w:r>
          </w:p>
        </w:tc>
      </w:tr>
      <w:tr w:rsidR="00190ABB" w:rsidRPr="00D53C13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  <w:tc>
          <w:tcPr>
            <w:tcW w:w="9599" w:type="dxa"/>
            <w:gridSpan w:val="2"/>
          </w:tcPr>
          <w:p w:rsidR="00190ABB" w:rsidRPr="004554A9" w:rsidRDefault="00190ABB" w:rsidP="00D53C1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554A9">
              <w:rPr>
                <w:rFonts w:ascii="Times New Roman" w:hAnsi="Times New Roman"/>
                <w:b/>
                <w:lang w:val="uk-UA"/>
              </w:rPr>
              <w:t>Інформація про предмет закупівлі</w:t>
            </w:r>
          </w:p>
        </w:tc>
      </w:tr>
      <w:tr w:rsidR="00190ABB" w:rsidRPr="009A1BF2" w:rsidTr="00293D51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2.1</w:t>
            </w:r>
          </w:p>
        </w:tc>
        <w:tc>
          <w:tcPr>
            <w:tcW w:w="3232" w:type="dxa"/>
          </w:tcPr>
          <w:p w:rsidR="00190ABB" w:rsidRPr="00DC1B7D" w:rsidRDefault="00636983" w:rsidP="007C066E">
            <w:pPr>
              <w:pStyle w:val="1"/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636983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7" w:type="dxa"/>
            <w:vAlign w:val="center"/>
          </w:tcPr>
          <w:p w:rsidR="00636983" w:rsidRPr="00636983" w:rsidRDefault="00A030DC" w:rsidP="009A1BF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36983">
              <w:rPr>
                <w:rFonts w:ascii="Times New Roman" w:hAnsi="Times New Roman"/>
                <w:color w:val="000000"/>
                <w:lang w:val="uk-UA"/>
              </w:rPr>
              <w:t xml:space="preserve">Капітальний ремонт харчоблоку Сквирського </w:t>
            </w:r>
            <w:r w:rsidR="009A1BF2" w:rsidRPr="00636983">
              <w:rPr>
                <w:rFonts w:ascii="Times New Roman" w:hAnsi="Times New Roman"/>
                <w:color w:val="000000"/>
                <w:lang w:val="uk-UA"/>
              </w:rPr>
              <w:t xml:space="preserve">академічного ліцею Сквирської міської ради Київської області за адресою: м. Сквира вул. Незалежності, 63 </w:t>
            </w:r>
          </w:p>
          <w:p w:rsidR="00190ABB" w:rsidRPr="00636983" w:rsidRDefault="00C47E1E" w:rsidP="009A1BF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36983">
              <w:rPr>
                <w:rFonts w:ascii="Times New Roman" w:hAnsi="Times New Roman"/>
                <w:color w:val="000000"/>
                <w:lang w:val="uk-UA"/>
              </w:rPr>
              <w:t>(код ДК 021:2015: 45453000-7 - Капітальний ремонт і реставрація)</w:t>
            </w:r>
          </w:p>
        </w:tc>
      </w:tr>
      <w:tr w:rsidR="00190ABB" w:rsidRPr="00A030DC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2.2</w:t>
            </w:r>
          </w:p>
        </w:tc>
        <w:tc>
          <w:tcPr>
            <w:tcW w:w="3232" w:type="dxa"/>
          </w:tcPr>
          <w:p w:rsidR="00190ABB" w:rsidRPr="00D53C13" w:rsidRDefault="00190ABB" w:rsidP="00ED48C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інформація про технічні, якісні кількісні та інші </w:t>
            </w:r>
            <w:r w:rsidR="00ED48C8">
              <w:rPr>
                <w:rFonts w:ascii="Times New Roman" w:hAnsi="Times New Roman" w:cs="Times New Roman"/>
                <w:lang w:val="uk-UA"/>
              </w:rPr>
              <w:t>х</w:t>
            </w:r>
            <w:r w:rsidRPr="00D53C13">
              <w:rPr>
                <w:rFonts w:ascii="Times New Roman" w:hAnsi="Times New Roman" w:cs="Times New Roman"/>
                <w:lang w:val="uk-UA"/>
              </w:rPr>
              <w:t>арактеристики предмета закупівлі</w:t>
            </w:r>
          </w:p>
        </w:tc>
        <w:tc>
          <w:tcPr>
            <w:tcW w:w="6367" w:type="dxa"/>
          </w:tcPr>
          <w:p w:rsidR="00743266" w:rsidRPr="004554A9" w:rsidRDefault="00743266" w:rsidP="00743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54A9">
              <w:rPr>
                <w:rFonts w:ascii="Times New Roman" w:hAnsi="Times New Roman" w:cs="Times New Roman"/>
                <w:lang w:val="uk-UA"/>
              </w:rPr>
              <w:t xml:space="preserve">Перелік робіт </w:t>
            </w:r>
            <w:r w:rsidR="0086792E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A030DC">
              <w:rPr>
                <w:rFonts w:ascii="Times New Roman" w:hAnsi="Times New Roman" w:cs="Times New Roman"/>
                <w:lang w:val="uk-UA"/>
              </w:rPr>
              <w:t>капітального</w:t>
            </w:r>
            <w:r w:rsidR="00A030DC" w:rsidRPr="00A030DC">
              <w:rPr>
                <w:rFonts w:ascii="Times New Roman" w:hAnsi="Times New Roman" w:cs="Times New Roman"/>
                <w:lang w:val="uk-UA"/>
              </w:rPr>
              <w:t xml:space="preserve"> ремонт</w:t>
            </w:r>
            <w:r w:rsidR="00A030DC">
              <w:rPr>
                <w:rFonts w:ascii="Times New Roman" w:hAnsi="Times New Roman" w:cs="Times New Roman"/>
                <w:lang w:val="uk-UA"/>
              </w:rPr>
              <w:t>у</w:t>
            </w:r>
            <w:r w:rsidR="00A030DC" w:rsidRPr="00A030DC">
              <w:rPr>
                <w:rFonts w:ascii="Times New Roman" w:hAnsi="Times New Roman" w:cs="Times New Roman"/>
                <w:lang w:val="uk-UA"/>
              </w:rPr>
              <w:t xml:space="preserve"> харчоблоку Сквирського </w:t>
            </w:r>
            <w:r w:rsidR="009A1BF2" w:rsidRPr="009A1BF2">
              <w:rPr>
                <w:rFonts w:ascii="Times New Roman" w:hAnsi="Times New Roman" w:cs="Times New Roman"/>
                <w:lang w:val="uk-UA"/>
              </w:rPr>
              <w:t>академічного ліцею Сквирської міської ради Київської області за адресою: м</w:t>
            </w:r>
            <w:r w:rsidR="009A1BF2">
              <w:rPr>
                <w:rFonts w:ascii="Times New Roman" w:hAnsi="Times New Roman" w:cs="Times New Roman"/>
                <w:lang w:val="uk-UA"/>
              </w:rPr>
              <w:t xml:space="preserve">. Сквира вул. Незалежності, 63 </w:t>
            </w:r>
            <w:r w:rsidRPr="004554A9">
              <w:rPr>
                <w:rFonts w:ascii="Times New Roman" w:hAnsi="Times New Roman" w:cs="Times New Roman"/>
                <w:lang w:val="uk-UA"/>
              </w:rPr>
              <w:t xml:space="preserve">наведений </w:t>
            </w:r>
            <w:r w:rsidR="007D6081">
              <w:rPr>
                <w:rFonts w:ascii="Times New Roman" w:hAnsi="Times New Roman" w:cs="Times New Roman"/>
                <w:lang w:val="uk-UA"/>
              </w:rPr>
              <w:t>в Т</w:t>
            </w:r>
            <w:r w:rsidR="0060550F" w:rsidRPr="004554A9">
              <w:rPr>
                <w:rFonts w:ascii="Times New Roman" w:hAnsi="Times New Roman" w:cs="Times New Roman"/>
                <w:lang w:val="uk-UA"/>
              </w:rPr>
              <w:t>ехнічному завданні (Додаток 2</w:t>
            </w:r>
            <w:r w:rsidRPr="004554A9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190ABB" w:rsidRPr="004554A9" w:rsidRDefault="00190ABB" w:rsidP="00BC2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uk-UA" w:eastAsia="uk-UA"/>
              </w:rPr>
            </w:pPr>
          </w:p>
        </w:tc>
      </w:tr>
      <w:tr w:rsidR="00190ABB" w:rsidRPr="00741736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2.3</w:t>
            </w:r>
          </w:p>
        </w:tc>
        <w:tc>
          <w:tcPr>
            <w:tcW w:w="3232" w:type="dxa"/>
          </w:tcPr>
          <w:p w:rsidR="00190ABB" w:rsidRPr="00D53C13" w:rsidRDefault="00636983" w:rsidP="00190AB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36983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367" w:type="dxa"/>
          </w:tcPr>
          <w:p w:rsidR="0060550F" w:rsidRPr="0086792E" w:rsidRDefault="009A1BF2" w:rsidP="00A24A4A">
            <w:pPr>
              <w:pStyle w:val="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Незалежності, 6</w:t>
            </w:r>
            <w:r w:rsidR="00FC7346" w:rsidRPr="00FC7346">
              <w:rPr>
                <w:rFonts w:ascii="Times New Roman" w:hAnsi="Times New Roman" w:cs="Times New Roman"/>
                <w:lang w:val="uk-UA"/>
              </w:rPr>
              <w:t>3 в місті Сквира Київської області</w:t>
            </w:r>
            <w:r w:rsidR="0060550F" w:rsidRPr="0086792E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.</w:t>
            </w:r>
          </w:p>
          <w:p w:rsidR="008D3890" w:rsidRPr="004554A9" w:rsidRDefault="008D3890" w:rsidP="00A24A4A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554A9">
              <w:rPr>
                <w:rFonts w:ascii="Times New Roman" w:eastAsia="Times New Roman" w:hAnsi="Times New Roman" w:cs="Times New Roman"/>
                <w:lang w:val="uk-UA" w:eastAsia="uk-UA"/>
              </w:rPr>
              <w:t>Обсяг виконання робіт у відповідності до Техн</w:t>
            </w:r>
            <w:r w:rsidR="0060550F" w:rsidRPr="004554A9">
              <w:rPr>
                <w:rFonts w:ascii="Times New Roman" w:eastAsia="Times New Roman" w:hAnsi="Times New Roman" w:cs="Times New Roman"/>
                <w:lang w:val="uk-UA" w:eastAsia="uk-UA"/>
              </w:rPr>
              <w:t>ічного завдання, що є додатком 2</w:t>
            </w:r>
            <w:r w:rsidRPr="004554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цього оголошення.</w:t>
            </w:r>
          </w:p>
        </w:tc>
      </w:tr>
      <w:tr w:rsidR="00190ABB" w:rsidRPr="00AD1551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2.4</w:t>
            </w:r>
          </w:p>
        </w:tc>
        <w:tc>
          <w:tcPr>
            <w:tcW w:w="3232" w:type="dxa"/>
          </w:tcPr>
          <w:p w:rsidR="00190ABB" w:rsidRPr="00000557" w:rsidRDefault="00190ABB" w:rsidP="00190AB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 поставки товарів (надання послуг, виконання робіт)</w:t>
            </w:r>
          </w:p>
        </w:tc>
        <w:tc>
          <w:tcPr>
            <w:tcW w:w="6367" w:type="dxa"/>
            <w:shd w:val="clear" w:color="auto" w:fill="auto"/>
          </w:tcPr>
          <w:p w:rsidR="00190ABB" w:rsidRPr="004554A9" w:rsidRDefault="008D3890" w:rsidP="006055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4554A9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60550F" w:rsidRPr="004554A9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Pr="004554A9">
              <w:rPr>
                <w:rFonts w:ascii="Times New Roman" w:eastAsia="Times New Roman" w:hAnsi="Times New Roman" w:cs="Times New Roman"/>
                <w:lang w:val="uk-UA"/>
              </w:rPr>
              <w:t xml:space="preserve"> грудня 202</w:t>
            </w:r>
            <w:r w:rsidR="009A1BF2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4554A9">
              <w:rPr>
                <w:rFonts w:ascii="Times New Roman" w:eastAsia="Times New Roman" w:hAnsi="Times New Roman" w:cs="Times New Roman"/>
                <w:lang w:val="uk-UA"/>
              </w:rPr>
              <w:t xml:space="preserve"> року</w:t>
            </w:r>
          </w:p>
        </w:tc>
      </w:tr>
      <w:tr w:rsidR="00190ABB" w:rsidRPr="00741736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</w:t>
            </w:r>
          </w:p>
        </w:tc>
        <w:tc>
          <w:tcPr>
            <w:tcW w:w="3232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умови оплати договору (порядок здійснення розрахунків) та поставки </w:t>
            </w:r>
          </w:p>
        </w:tc>
        <w:tc>
          <w:tcPr>
            <w:tcW w:w="6367" w:type="dxa"/>
            <w:shd w:val="clear" w:color="auto" w:fill="auto"/>
          </w:tcPr>
          <w:p w:rsidR="00190ABB" w:rsidRPr="004B1691" w:rsidRDefault="00BA53D2" w:rsidP="00BA53D2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B1691">
              <w:rPr>
                <w:rFonts w:ascii="Times New Roman" w:hAnsi="Times New Roman" w:cs="Times New Roman"/>
                <w:color w:val="auto"/>
                <w:lang w:val="uk-UA"/>
              </w:rPr>
              <w:t>Оплата здійснюється Замовником по мірі надходження коштів з джерел фінансування. Розрахунок з Підрядником за виконані роботи проводиться протягом 10 банківських днів з моменту отримання коштів з джерел фінансування.</w:t>
            </w:r>
          </w:p>
        </w:tc>
      </w:tr>
      <w:tr w:rsidR="00190ABB" w:rsidRPr="00D53C13" w:rsidTr="00865A28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2.6</w:t>
            </w:r>
          </w:p>
        </w:tc>
        <w:tc>
          <w:tcPr>
            <w:tcW w:w="3232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190ABB" w:rsidRPr="004554A9" w:rsidRDefault="00B30818" w:rsidP="00FC73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1 497 460,80</w:t>
            </w:r>
            <w:r w:rsidR="00C47E1E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8D3890" w:rsidRPr="004554A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грн.</w:t>
            </w:r>
          </w:p>
        </w:tc>
      </w:tr>
      <w:tr w:rsidR="000D70A3" w:rsidRPr="00460D9A" w:rsidTr="00865A28">
        <w:trPr>
          <w:trHeight w:val="520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2.7</w:t>
            </w:r>
          </w:p>
        </w:tc>
        <w:tc>
          <w:tcPr>
            <w:tcW w:w="3232" w:type="dxa"/>
            <w:shd w:val="clear" w:color="auto" w:fill="auto"/>
          </w:tcPr>
          <w:p w:rsidR="000D70A3" w:rsidRPr="00D53C13" w:rsidRDefault="00636983" w:rsidP="004744A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69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0D70A3" w:rsidRPr="00886380" w:rsidRDefault="00886380" w:rsidP="00CC09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86380">
              <w:rPr>
                <w:rFonts w:ascii="Times New Roman" w:hAnsi="Times New Roman" w:cs="Times New Roman"/>
                <w:lang w:val="uk-UA"/>
              </w:rPr>
              <w:t xml:space="preserve">До 14.07.2022 </w:t>
            </w:r>
            <w:r>
              <w:rPr>
                <w:rFonts w:ascii="Times New Roman" w:hAnsi="Times New Roman" w:cs="Times New Roman"/>
                <w:lang w:val="uk-UA"/>
              </w:rPr>
              <w:t xml:space="preserve">року </w:t>
            </w:r>
            <w:r w:rsidRPr="00886380">
              <w:rPr>
                <w:rFonts w:ascii="Times New Roman" w:hAnsi="Times New Roman" w:cs="Times New Roman"/>
                <w:lang w:val="uk-UA"/>
              </w:rPr>
              <w:t>17:00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</w:t>
            </w:r>
          </w:p>
        </w:tc>
      </w:tr>
      <w:tr w:rsidR="000D70A3" w:rsidRPr="00D53C13" w:rsidTr="00F50D95">
        <w:trPr>
          <w:trHeight w:val="520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9599" w:type="dxa"/>
            <w:gridSpan w:val="2"/>
          </w:tcPr>
          <w:p w:rsidR="000D70A3" w:rsidRPr="00D53C13" w:rsidRDefault="000D70A3" w:rsidP="00D53C13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3C13">
              <w:rPr>
                <w:rFonts w:ascii="Times New Roman" w:hAnsi="Times New Roman" w:cs="Times New Roman"/>
                <w:b/>
                <w:lang w:val="uk-UA"/>
              </w:rPr>
              <w:t>Подання та розкриття пропозиції</w:t>
            </w:r>
          </w:p>
        </w:tc>
      </w:tr>
      <w:tr w:rsidR="000D70A3" w:rsidRPr="00741736" w:rsidTr="00F50D95">
        <w:trPr>
          <w:trHeight w:val="558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3.1</w:t>
            </w:r>
          </w:p>
        </w:tc>
        <w:tc>
          <w:tcPr>
            <w:tcW w:w="3232" w:type="dxa"/>
          </w:tcPr>
          <w:p w:rsidR="000D70A3" w:rsidRPr="00D53C13" w:rsidRDefault="00865A28" w:rsidP="00EC554A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EC554A" w:rsidRPr="00D53C13">
              <w:rPr>
                <w:rFonts w:ascii="Times New Roman" w:hAnsi="Times New Roman" w:cs="Times New Roman"/>
                <w:color w:val="auto"/>
                <w:lang w:val="uk-UA"/>
              </w:rPr>
              <w:t>имоги</w:t>
            </w:r>
            <w:r w:rsidR="000D70A3" w:rsidRPr="00D53C13">
              <w:rPr>
                <w:rFonts w:ascii="Times New Roman" w:hAnsi="Times New Roman" w:cs="Times New Roman"/>
                <w:color w:val="auto"/>
                <w:lang w:val="uk-UA"/>
              </w:rPr>
              <w:t xml:space="preserve"> до учасників </w:t>
            </w:r>
          </w:p>
        </w:tc>
        <w:tc>
          <w:tcPr>
            <w:tcW w:w="6367" w:type="dxa"/>
          </w:tcPr>
          <w:p w:rsidR="000D70A3" w:rsidRPr="00D53C13" w:rsidRDefault="000D70A3" w:rsidP="0063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Замовник встановлює </w:t>
            </w:r>
            <w:r w:rsidR="00EC554A" w:rsidRPr="00D53C13">
              <w:rPr>
                <w:rFonts w:ascii="Times New Roman" w:eastAsia="Times New Roman" w:hAnsi="Times New Roman" w:cs="Times New Roman"/>
                <w:lang w:val="uk-UA"/>
              </w:rPr>
              <w:t>вимоги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C554A" w:rsidRPr="00D53C13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учасників згідно </w:t>
            </w:r>
            <w:r w:rsidR="001D7CBE"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60550F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4</w:t>
            </w:r>
            <w:r w:rsidR="001D7CBE"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 w:rsidR="00EC554A" w:rsidRPr="00A8044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0D70A3" w:rsidRPr="00890DD0" w:rsidTr="00F50D95">
        <w:trPr>
          <w:trHeight w:val="558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3.2</w:t>
            </w:r>
          </w:p>
        </w:tc>
        <w:tc>
          <w:tcPr>
            <w:tcW w:w="3232" w:type="dxa"/>
          </w:tcPr>
          <w:p w:rsidR="000D70A3" w:rsidRPr="00D53C13" w:rsidRDefault="00636983" w:rsidP="0063698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Зміст і спосіб подання </w:t>
            </w:r>
            <w:r w:rsidR="000D70A3"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пропозиції</w:t>
            </w:r>
          </w:p>
        </w:tc>
        <w:tc>
          <w:tcPr>
            <w:tcW w:w="6367" w:type="dxa"/>
          </w:tcPr>
          <w:p w:rsidR="00890DD0" w:rsidRDefault="00890DD0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0DD0">
              <w:rPr>
                <w:rFonts w:ascii="Times New Roman" w:hAnsi="Times New Roman" w:cs="Times New Roman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0D70A3" w:rsidRPr="00865A28" w:rsidRDefault="000D70A3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Повний перелік документів, що вимагається у складі пропозиції наведений у </w:t>
            </w:r>
            <w:r w:rsidRPr="00865A28">
              <w:rPr>
                <w:rFonts w:ascii="Times New Roman" w:hAnsi="Times New Roman" w:cs="Times New Roman"/>
                <w:lang w:val="uk-UA"/>
              </w:rPr>
              <w:t xml:space="preserve">Додатку </w:t>
            </w:r>
            <w:r w:rsidR="004B58E8" w:rsidRPr="00890DD0">
              <w:rPr>
                <w:rFonts w:ascii="Times New Roman" w:hAnsi="Times New Roman" w:cs="Times New Roman"/>
                <w:lang w:val="uk-UA"/>
              </w:rPr>
              <w:t>4</w:t>
            </w:r>
            <w:r w:rsidRPr="00A8044D">
              <w:rPr>
                <w:rFonts w:ascii="Times New Roman" w:hAnsi="Times New Roman" w:cs="Times New Roman"/>
                <w:lang w:val="uk-UA"/>
              </w:rPr>
              <w:t>.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5A28">
              <w:rPr>
                <w:rFonts w:ascii="Times New Roman" w:hAnsi="Times New Roman" w:cs="Times New Roman"/>
                <w:lang w:val="uk-UA"/>
              </w:rPr>
              <w:t>Всі документи, що готуються учасником, викладаються українською мовою.</w:t>
            </w:r>
          </w:p>
        </w:tc>
      </w:tr>
      <w:tr w:rsidR="000D70A3" w:rsidRPr="00741736" w:rsidTr="00F50D95">
        <w:trPr>
          <w:trHeight w:val="558"/>
        </w:trPr>
        <w:tc>
          <w:tcPr>
            <w:tcW w:w="738" w:type="dxa"/>
          </w:tcPr>
          <w:p w:rsidR="000D70A3" w:rsidRPr="00D53C13" w:rsidRDefault="00755322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3.3</w:t>
            </w:r>
          </w:p>
        </w:tc>
        <w:tc>
          <w:tcPr>
            <w:tcW w:w="3232" w:type="dxa"/>
          </w:tcPr>
          <w:p w:rsidR="00121842" w:rsidRPr="00121842" w:rsidRDefault="00121842" w:rsidP="0012184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2184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Кінцевий строк подання пропозицій </w:t>
            </w:r>
          </w:p>
          <w:p w:rsidR="000D70A3" w:rsidRPr="00D53C13" w:rsidRDefault="00121842" w:rsidP="00121842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21842">
              <w:rPr>
                <w:rFonts w:ascii="Times New Roman" w:eastAsia="Times New Roman" w:hAnsi="Times New Roman" w:cs="Times New Roman"/>
                <w:lang w:val="uk-UA"/>
              </w:rPr>
              <w:t>(не може бути менше ніж два робочі дні з дня закінчення періоду уточнення інформації про закупівлю)</w:t>
            </w:r>
          </w:p>
        </w:tc>
        <w:tc>
          <w:tcPr>
            <w:tcW w:w="6367" w:type="dxa"/>
          </w:tcPr>
          <w:p w:rsidR="000D70A3" w:rsidRPr="004554A9" w:rsidRDefault="000D70A3" w:rsidP="00D53C13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hAnsi="Times New Roman" w:cs="Times New Roman"/>
                <w:color w:val="002060"/>
                <w:lang w:val="ru-RU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Кінцевий строк подання пропозицій </w:t>
            </w:r>
            <w:r w:rsidR="00D53C13" w:rsidRPr="00A4586C">
              <w:rPr>
                <w:rFonts w:ascii="Times New Roman" w:hAnsi="Times New Roman" w:cs="Times New Roman"/>
                <w:lang w:val="uk-UA"/>
              </w:rPr>
              <w:t>–</w:t>
            </w:r>
            <w:r w:rsidR="001A21AE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886380" w:rsidRPr="00886380">
              <w:rPr>
                <w:rFonts w:ascii="Times New Roman" w:hAnsi="Times New Roman" w:cs="Times New Roman"/>
                <w:b/>
                <w:lang w:val="uk-UA"/>
              </w:rPr>
              <w:t xml:space="preserve">.07.2022 року 23.59 </w:t>
            </w:r>
            <w:proofErr w:type="spellStart"/>
            <w:r w:rsidR="00886380" w:rsidRPr="00886380">
              <w:rPr>
                <w:rFonts w:ascii="Times New Roman" w:hAnsi="Times New Roman" w:cs="Times New Roman"/>
                <w:b/>
                <w:lang w:val="uk-UA"/>
              </w:rPr>
              <w:t>год</w:t>
            </w:r>
            <w:proofErr w:type="spellEnd"/>
          </w:p>
          <w:p w:rsidR="000D70A3" w:rsidRPr="00D53C13" w:rsidRDefault="000D70A3" w:rsidP="000236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4586C">
              <w:rPr>
                <w:rFonts w:ascii="Times New Roman" w:hAnsi="Times New Roman" w:cs="Times New Roman"/>
                <w:lang w:val="uk-UA"/>
              </w:rPr>
              <w:t xml:space="preserve">    Отримана пропозиція автоматично вноситься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 до реєстру.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0D70A3" w:rsidRPr="00D53C13" w:rsidRDefault="000D70A3" w:rsidP="0002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1148B" w:rsidRPr="0061148B">
              <w:rPr>
                <w:rFonts w:ascii="Times New Roman" w:eastAsia="Calibri" w:hAnsi="Times New Roman" w:cs="Times New Roman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0D70A3" w:rsidRPr="00D53C13" w:rsidRDefault="000D70A3" w:rsidP="000236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61148B" w:rsidRPr="0061148B">
              <w:rPr>
                <w:rFonts w:ascii="Times New Roman" w:hAnsi="Times New Roman" w:cs="Times New Roman"/>
                <w:lang w:val="uk-UA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6B328E" w:rsidRPr="00A8044D" w:rsidRDefault="006B328E" w:rsidP="000236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Створення електронних документів завершується накладанням на пропозицію учасника кваліфіков</w:t>
            </w:r>
            <w:r w:rsidR="00AB1F47" w:rsidRPr="00D53C13">
              <w:rPr>
                <w:rFonts w:ascii="Times New Roman" w:hAnsi="Times New Roman" w:cs="Times New Roman"/>
                <w:lang w:val="uk-UA"/>
              </w:rPr>
              <w:t xml:space="preserve">аного електронного підпису </w:t>
            </w:r>
            <w:r w:rsidRPr="008749C8">
              <w:rPr>
                <w:rFonts w:ascii="Times New Roman" w:hAnsi="Times New Roman" w:cs="Times New Roman"/>
                <w:lang w:val="uk-UA"/>
              </w:rPr>
              <w:t>(у відповідності до вимог Закону України від 05.10.2017 № 2155-VIII «Про електронні довірчі послуги»)</w:t>
            </w:r>
            <w:r w:rsidR="00E553AF">
              <w:rPr>
                <w:rFonts w:ascii="Times New Roman" w:hAnsi="Times New Roman" w:cs="Times New Roman"/>
                <w:lang w:val="uk-UA"/>
              </w:rPr>
              <w:t xml:space="preserve"> особою, яка підписала пропозицію спрощеної закупівлі. 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Функція накладення кваліфікованого електронного підпису реалізована на електронних майданчиках під час або після подачі пропозиції. Відповідність накладеного кваліфікованого електронного підпису (файл з підписом «sign.p7s») перевіряється Замовником на сайті Центрального </w:t>
            </w:r>
            <w:proofErr w:type="spellStart"/>
            <w:r w:rsidRPr="00D53C13">
              <w:rPr>
                <w:rFonts w:ascii="Times New Roman" w:hAnsi="Times New Roman" w:cs="Times New Roman"/>
                <w:lang w:val="uk-UA"/>
              </w:rPr>
              <w:t>засвідчувального</w:t>
            </w:r>
            <w:proofErr w:type="spellEnd"/>
            <w:r w:rsidRPr="00D53C13">
              <w:rPr>
                <w:rFonts w:ascii="Times New Roman" w:hAnsi="Times New Roman" w:cs="Times New Roman"/>
                <w:lang w:val="uk-UA"/>
              </w:rPr>
              <w:t xml:space="preserve"> органу (</w:t>
            </w:r>
            <w:hyperlink r:id="rId9" w:history="1">
              <w:r w:rsidRPr="00A8044D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https://czo.gov.ua</w:t>
              </w:r>
            </w:hyperlink>
            <w:r w:rsidRPr="00A8044D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724B5D" w:rsidRPr="00D53C13" w:rsidRDefault="00724B5D" w:rsidP="00023669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 разі перенесення кінцевої дати подання пропозицій, всі довідки та інші документи (у тому числі банківська гарантія), що видаються будь-якою установою, організацією, підприємством та вимагаються замовником, залишаються дійсними.</w:t>
            </w:r>
          </w:p>
          <w:p w:rsidR="000D70A3" w:rsidRPr="00D53C13" w:rsidRDefault="00724B5D" w:rsidP="00D53C13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За підроблення документів Учасник торгів несе кримінальну відповідальність згідно з чинним законодавством.</w:t>
            </w:r>
          </w:p>
        </w:tc>
      </w:tr>
      <w:tr w:rsidR="00724B5D" w:rsidRPr="00741736" w:rsidTr="00F50D95">
        <w:trPr>
          <w:trHeight w:val="558"/>
        </w:trPr>
        <w:tc>
          <w:tcPr>
            <w:tcW w:w="738" w:type="dxa"/>
          </w:tcPr>
          <w:p w:rsidR="00724B5D" w:rsidRPr="00D53C13" w:rsidRDefault="00724B5D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3.4</w:t>
            </w:r>
          </w:p>
        </w:tc>
        <w:tc>
          <w:tcPr>
            <w:tcW w:w="3232" w:type="dxa"/>
          </w:tcPr>
          <w:p w:rsidR="00724B5D" w:rsidRPr="00D53C13" w:rsidRDefault="00724B5D" w:rsidP="00724B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67" w:type="dxa"/>
          </w:tcPr>
          <w:p w:rsidR="00724B5D" w:rsidRPr="00D53C13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Учасник має право внести зміни або відкликати свою пропозицію до закінчення строку її подання </w:t>
            </w:r>
            <w:r w:rsidR="0088493E" w:rsidRPr="00D53C1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>без втрати свого забезпечення пропозиції</w:t>
            </w:r>
            <w:r w:rsidR="00B70017" w:rsidRPr="00D53C1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Такі зміни або заява про відкликання </w:t>
            </w: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пропозиції враховуються в разі, якщо їх отримано електронною системою закупівель до закінчення строку подання пропозицій. </w:t>
            </w:r>
          </w:p>
          <w:p w:rsidR="00724B5D" w:rsidRPr="00D53C13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Замовник має право враховувати зміни до пропозиції, які були завантажені учасником тільки до моменту закінчення кінцевого строку подання пропозиції.</w:t>
            </w:r>
          </w:p>
          <w:p w:rsidR="0088493E" w:rsidRPr="00D53C13" w:rsidRDefault="00F93C61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разі внесення </w:t>
            </w:r>
            <w:r w:rsidR="0088493E"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змін (за результатами розгляду звернень чи з власної ініціативи замовника) до оголошення строк для подання пропозицій (а не строк уточнення) продовжується замовником в системі не менше ніж на 2 (два) робочі дні.</w:t>
            </w:r>
          </w:p>
          <w:p w:rsidR="00724B5D" w:rsidRPr="00BC214A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21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Документи,</w:t>
            </w:r>
            <w:r w:rsidR="00AB1F47" w:rsidRPr="00BC21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завантажені Учасником</w:t>
            </w:r>
            <w:r w:rsidRPr="00BC21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електронної системи після кінцевого строку подання пропозицій, з боку Замовника будуть залишені без розгляду під час оцінки пропозиції та визначенні Переможця. </w:t>
            </w:r>
          </w:p>
        </w:tc>
      </w:tr>
      <w:tr w:rsidR="006B328E" w:rsidRPr="00D53C13" w:rsidTr="00F50D95">
        <w:trPr>
          <w:trHeight w:val="558"/>
        </w:trPr>
        <w:tc>
          <w:tcPr>
            <w:tcW w:w="738" w:type="dxa"/>
          </w:tcPr>
          <w:p w:rsidR="006B328E" w:rsidRPr="00D53C13" w:rsidRDefault="006B328E" w:rsidP="00724B5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</w:t>
            </w:r>
            <w:r w:rsidR="00724B5D"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3232" w:type="dxa"/>
          </w:tcPr>
          <w:p w:rsidR="006B328E" w:rsidRPr="00D53C13" w:rsidRDefault="009011C7" w:rsidP="00901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</w:t>
            </w:r>
            <w:r w:rsidRPr="009011C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озмір та умови надання забезпечення пропозицій учасників</w:t>
            </w:r>
          </w:p>
        </w:tc>
        <w:tc>
          <w:tcPr>
            <w:tcW w:w="6367" w:type="dxa"/>
          </w:tcPr>
          <w:p w:rsidR="006B328E" w:rsidRPr="00BC214A" w:rsidRDefault="00BC214A" w:rsidP="006B328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BC214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BC214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  <w:p w:rsidR="006B328E" w:rsidRPr="00BC214A" w:rsidRDefault="006B328E" w:rsidP="006B328E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328E" w:rsidRPr="00A8044D" w:rsidTr="00F50D95">
        <w:trPr>
          <w:trHeight w:val="558"/>
        </w:trPr>
        <w:tc>
          <w:tcPr>
            <w:tcW w:w="738" w:type="dxa"/>
          </w:tcPr>
          <w:p w:rsidR="006B328E" w:rsidRPr="00D53C13" w:rsidRDefault="00724B5D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3.6</w:t>
            </w:r>
          </w:p>
        </w:tc>
        <w:tc>
          <w:tcPr>
            <w:tcW w:w="3232" w:type="dxa"/>
          </w:tcPr>
          <w:p w:rsidR="008C32F1" w:rsidRPr="00D53C13" w:rsidRDefault="00095F26" w:rsidP="006B32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9011C7" w:rsidRPr="009011C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озмір мінімального кроку пониження ціни під час електронного аукціону в межах від 0,5 відсотка до 3 відсотків або в грошових одиниця</w:t>
            </w:r>
            <w:r w:rsidR="009011C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 очікуваної вартості закупівлі</w:t>
            </w:r>
          </w:p>
        </w:tc>
        <w:tc>
          <w:tcPr>
            <w:tcW w:w="6367" w:type="dxa"/>
          </w:tcPr>
          <w:p w:rsidR="005F6389" w:rsidRPr="000E2E13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4D7D0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Розмір мінімального кроку пониження ціни під час електронного </w:t>
            </w:r>
            <w:r w:rsidRPr="000E2E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аукціону складає</w:t>
            </w:r>
            <w:r w:rsidR="00A8044D" w:rsidRPr="000E2E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: </w:t>
            </w:r>
          </w:p>
          <w:p w:rsidR="005F6389" w:rsidRPr="004B58E8" w:rsidRDefault="0047343E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7487</w:t>
            </w:r>
            <w:r w:rsidR="004B58E8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47E1E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 30</w:t>
            </w:r>
            <w:r w:rsidR="004B58E8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="004B58E8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коп</w:t>
            </w:r>
            <w:proofErr w:type="spellEnd"/>
          </w:p>
          <w:p w:rsidR="006B328E" w:rsidRPr="00D53C13" w:rsidRDefault="006B328E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328E" w:rsidRPr="00741736" w:rsidTr="00F50D95">
        <w:trPr>
          <w:trHeight w:val="558"/>
        </w:trPr>
        <w:tc>
          <w:tcPr>
            <w:tcW w:w="738" w:type="dxa"/>
          </w:tcPr>
          <w:p w:rsidR="006B328E" w:rsidRPr="00D53C13" w:rsidRDefault="00724B5D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3.7</w:t>
            </w:r>
          </w:p>
        </w:tc>
        <w:tc>
          <w:tcPr>
            <w:tcW w:w="3232" w:type="dxa"/>
          </w:tcPr>
          <w:p w:rsidR="006B328E" w:rsidRPr="00D53C13" w:rsidRDefault="006B328E" w:rsidP="00D113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6367" w:type="dxa"/>
          </w:tcPr>
          <w:p w:rsidR="008C32F1" w:rsidRPr="00D53C13" w:rsidRDefault="006B328E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highlight w:val="cyan"/>
                <w:shd w:val="clear" w:color="auto" w:fill="FFFFFF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>Пропозиція вважається дійсною протягом</w:t>
            </w:r>
            <w:r w:rsidR="00DC1B7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77C77">
              <w:rPr>
                <w:rFonts w:ascii="Times New Roman" w:eastAsia="Times New Roman" w:hAnsi="Times New Roman" w:cs="Times New Roman"/>
                <w:lang w:val="uk-UA"/>
              </w:rPr>
              <w:t xml:space="preserve">90 </w:t>
            </w:r>
            <w:r w:rsidR="0086792E">
              <w:rPr>
                <w:rFonts w:ascii="Times New Roman" w:eastAsia="Times New Roman" w:hAnsi="Times New Roman" w:cs="Times New Roman"/>
                <w:lang w:val="uk-UA"/>
              </w:rPr>
              <w:t>робочих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днів з дати </w:t>
            </w:r>
            <w:r w:rsidR="00DC1B7D">
              <w:rPr>
                <w:rFonts w:ascii="Times New Roman" w:eastAsia="Times New Roman" w:hAnsi="Times New Roman" w:cs="Times New Roman"/>
                <w:lang w:val="uk-UA"/>
              </w:rPr>
              <w:t>подання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пропозицій.  </w:t>
            </w:r>
          </w:p>
        </w:tc>
      </w:tr>
      <w:tr w:rsidR="006B328E" w:rsidRPr="00741736" w:rsidTr="00F50D95">
        <w:trPr>
          <w:trHeight w:val="558"/>
        </w:trPr>
        <w:tc>
          <w:tcPr>
            <w:tcW w:w="738" w:type="dxa"/>
          </w:tcPr>
          <w:p w:rsidR="006B328E" w:rsidRPr="00D53C13" w:rsidRDefault="006B328E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9599" w:type="dxa"/>
            <w:gridSpan w:val="2"/>
          </w:tcPr>
          <w:p w:rsidR="006B328E" w:rsidRPr="00D53C13" w:rsidRDefault="006B328E" w:rsidP="00D53C13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D53C13">
              <w:rPr>
                <w:rFonts w:ascii="Times New Roman" w:hAnsi="Times New Roman" w:cs="Times New Roman"/>
                <w:b/>
                <w:lang w:val="uk-UA"/>
              </w:rPr>
              <w:t>Оцінка пропозиції та результати торгів</w:t>
            </w:r>
          </w:p>
        </w:tc>
      </w:tr>
      <w:tr w:rsidR="006B328E" w:rsidRPr="009A1BF2" w:rsidTr="00F50D95">
        <w:trPr>
          <w:trHeight w:val="520"/>
        </w:trPr>
        <w:tc>
          <w:tcPr>
            <w:tcW w:w="738" w:type="dxa"/>
          </w:tcPr>
          <w:p w:rsidR="006B328E" w:rsidRPr="00D53C13" w:rsidRDefault="006B328E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4.1</w:t>
            </w:r>
          </w:p>
        </w:tc>
        <w:tc>
          <w:tcPr>
            <w:tcW w:w="3232" w:type="dxa"/>
          </w:tcPr>
          <w:p w:rsidR="006B328E" w:rsidRPr="00D53C13" w:rsidRDefault="00095F26" w:rsidP="006B328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</w:t>
            </w:r>
            <w:r w:rsidRPr="00095F2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ерелік критеріїв та методика оцінки пропозицій із зазначенням питомої ваги критеріїв</w:t>
            </w:r>
          </w:p>
        </w:tc>
        <w:tc>
          <w:tcPr>
            <w:tcW w:w="6367" w:type="dxa"/>
          </w:tcPr>
          <w:p w:rsidR="00327840" w:rsidRPr="00F778B2" w:rsidRDefault="00327840" w:rsidP="00327840">
            <w:pPr>
              <w:pStyle w:val="rvps2"/>
              <w:spacing w:before="0" w:after="0"/>
              <w:ind w:left="142"/>
              <w:jc w:val="both"/>
              <w:rPr>
                <w:b/>
              </w:rPr>
            </w:pPr>
            <w:proofErr w:type="spellStart"/>
            <w:r w:rsidRPr="00F778B2">
              <w:t>Єдиним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критерієм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оцінки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пропозицій</w:t>
            </w:r>
            <w:proofErr w:type="spellEnd"/>
            <w:r w:rsidRPr="00F778B2">
              <w:t xml:space="preserve"> </w:t>
            </w:r>
            <w:r w:rsidRPr="00F778B2">
              <w:rPr>
                <w:b/>
              </w:rPr>
              <w:t xml:space="preserve">є </w:t>
            </w:r>
            <w:proofErr w:type="spellStart"/>
            <w:r w:rsidRPr="00F778B2">
              <w:rPr>
                <w:b/>
              </w:rPr>
              <w:t>ціна</w:t>
            </w:r>
            <w:proofErr w:type="spellEnd"/>
            <w:r w:rsidRPr="00F778B2">
              <w:rPr>
                <w:b/>
              </w:rPr>
              <w:t xml:space="preserve">. </w:t>
            </w:r>
          </w:p>
          <w:p w:rsidR="00327840" w:rsidRPr="00F778B2" w:rsidRDefault="00327840" w:rsidP="00327840">
            <w:pPr>
              <w:pStyle w:val="rvps2"/>
              <w:spacing w:before="0" w:after="0"/>
              <w:ind w:left="142"/>
              <w:jc w:val="both"/>
            </w:pPr>
            <w:proofErr w:type="spellStart"/>
            <w:r w:rsidRPr="00F778B2">
              <w:t>Питома</w:t>
            </w:r>
            <w:proofErr w:type="spellEnd"/>
            <w:r w:rsidRPr="00F778B2">
              <w:t xml:space="preserve"> вага </w:t>
            </w:r>
            <w:proofErr w:type="spellStart"/>
            <w:r w:rsidRPr="00F778B2">
              <w:t>цінового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критерію</w:t>
            </w:r>
            <w:proofErr w:type="spellEnd"/>
            <w:r w:rsidRPr="00F778B2">
              <w:t xml:space="preserve"> становить 100 </w:t>
            </w:r>
            <w:proofErr w:type="spellStart"/>
            <w:r w:rsidRPr="00F778B2">
              <w:t>відсоткі</w:t>
            </w:r>
            <w:proofErr w:type="gramStart"/>
            <w:r w:rsidRPr="00F778B2">
              <w:t>в</w:t>
            </w:r>
            <w:proofErr w:type="spellEnd"/>
            <w:proofErr w:type="gramEnd"/>
            <w:r w:rsidRPr="00F778B2">
              <w:t>.</w:t>
            </w:r>
          </w:p>
          <w:p w:rsidR="00327840" w:rsidRPr="00F778B2" w:rsidRDefault="00327840" w:rsidP="0032784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7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критерії оцінки  пропозицій Замовником не застосовуються.</w:t>
            </w:r>
          </w:p>
          <w:p w:rsidR="00327840" w:rsidRPr="00F778B2" w:rsidRDefault="00327840" w:rsidP="00327840">
            <w:pPr>
              <w:pStyle w:val="msonormal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 w:eastAsia="uk-UA"/>
              </w:rPr>
            </w:pPr>
            <w:r w:rsidRPr="00F778B2">
              <w:rPr>
                <w:lang w:val="uk-UA" w:eastAsia="uk-UA"/>
              </w:rPr>
              <w:t>Ціна має бути зазначена Учасником з урахуванням усіх податків і зборів, що сплачуються або мають бути сплачені, в тому числі ПДВ.</w:t>
            </w:r>
          </w:p>
          <w:p w:rsidR="00327840" w:rsidRPr="00F778B2" w:rsidRDefault="00327840" w:rsidP="00327840">
            <w:pPr>
              <w:pStyle w:val="msonormalcxspmiddle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 w:eastAsia="uk-UA"/>
              </w:rPr>
            </w:pPr>
            <w:r w:rsidRPr="00F778B2">
              <w:rPr>
                <w:lang w:val="uk-UA" w:eastAsia="uk-UA"/>
              </w:rPr>
              <w:t xml:space="preserve">Учасники, які є платниками ПДВ, зазначають ціну </w:t>
            </w:r>
            <w:r>
              <w:rPr>
                <w:lang w:val="uk-UA" w:eastAsia="uk-UA"/>
              </w:rPr>
              <w:t>цінової</w:t>
            </w:r>
            <w:r w:rsidRPr="00F778B2">
              <w:rPr>
                <w:lang w:val="uk-UA" w:eastAsia="uk-UA"/>
              </w:rPr>
              <w:t xml:space="preserve"> пропозиції  з урахуванням ПДВ. </w:t>
            </w:r>
          </w:p>
          <w:p w:rsidR="00327840" w:rsidRPr="00F778B2" w:rsidRDefault="00327840" w:rsidP="00327840">
            <w:pPr>
              <w:pStyle w:val="msonormal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 w:eastAsia="uk-UA"/>
              </w:rPr>
            </w:pPr>
            <w:r w:rsidRPr="00F778B2">
              <w:rPr>
                <w:lang w:val="uk-UA" w:eastAsia="uk-UA"/>
              </w:rPr>
              <w:t>Учасники, які не є платник</w:t>
            </w:r>
            <w:r>
              <w:rPr>
                <w:lang w:val="uk-UA" w:eastAsia="uk-UA"/>
              </w:rPr>
              <w:t>ами ПДВ, зазначають ціну цінов</w:t>
            </w:r>
            <w:r w:rsidRPr="00F778B2">
              <w:rPr>
                <w:lang w:val="uk-UA" w:eastAsia="uk-UA"/>
              </w:rPr>
              <w:t>ої пропозиції без ПДВ.</w:t>
            </w:r>
          </w:p>
          <w:p w:rsidR="00327840" w:rsidRPr="00F778B2" w:rsidRDefault="00327840" w:rsidP="00327840">
            <w:pPr>
              <w:pStyle w:val="msonormal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/>
              </w:rPr>
            </w:pPr>
            <w:r w:rsidRPr="00F778B2">
              <w:rPr>
                <w:lang w:val="uk-UA"/>
              </w:rPr>
              <w:t>Оцінка  пропозицій здійснюється за ціною з урахуванням ПДВ, якщо учасник є платником ПДВ.</w:t>
            </w:r>
          </w:p>
          <w:p w:rsidR="00327840" w:rsidRPr="00F778B2" w:rsidRDefault="00327840" w:rsidP="00327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8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МЕТОДИКА ОЦІНКИ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3"/>
              <w:gridCol w:w="1985"/>
              <w:gridCol w:w="3473"/>
            </w:tblGrid>
            <w:tr w:rsidR="00327840" w:rsidRPr="00741736" w:rsidTr="00814014"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№</w:t>
                  </w:r>
                </w:p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з/п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Найменування критерію</w:t>
                  </w: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Питома вага (максимальна кількість</w:t>
                  </w:r>
                </w:p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балів за критерієм)</w:t>
                  </w:r>
                </w:p>
              </w:tc>
            </w:tr>
            <w:tr w:rsidR="00327840" w:rsidRPr="00FB7A41" w:rsidTr="00814014"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Ціна</w:t>
                  </w: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:rsidR="00DC7404" w:rsidRPr="00D53C13" w:rsidRDefault="00DC7404" w:rsidP="00AB1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21FC4" w:rsidRPr="00741736" w:rsidTr="00F50D95">
        <w:trPr>
          <w:trHeight w:val="520"/>
        </w:trPr>
        <w:tc>
          <w:tcPr>
            <w:tcW w:w="738" w:type="dxa"/>
          </w:tcPr>
          <w:p w:rsidR="00121FC4" w:rsidRPr="00D53C13" w:rsidRDefault="00121FC4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4.2.</w:t>
            </w:r>
          </w:p>
        </w:tc>
        <w:tc>
          <w:tcPr>
            <w:tcW w:w="3232" w:type="dxa"/>
          </w:tcPr>
          <w:p w:rsidR="00121FC4" w:rsidRPr="00D53C13" w:rsidRDefault="00121FC4" w:rsidP="006B32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Формальні помилки</w:t>
            </w:r>
          </w:p>
        </w:tc>
        <w:tc>
          <w:tcPr>
            <w:tcW w:w="6367" w:type="dxa"/>
          </w:tcPr>
          <w:p w:rsidR="00D53C13" w:rsidRPr="00A5439A" w:rsidRDefault="00D53C13" w:rsidP="00D53C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Пiд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час подання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пропозицiй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допускаються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формальнi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несуттєвi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помилки, допущення яких не призведе до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вiдхилення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пропозицiй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учасників. Формальними (несуттєвими) вважаються помилки, що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пов'язанi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оформленням </w:t>
            </w:r>
            <w:proofErr w:type="spellStart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</w:t>
            </w: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ропозицiї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не</w:t>
            </w:r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впливають на </w:t>
            </w:r>
            <w:proofErr w:type="spellStart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змiст</w:t>
            </w:r>
            <w:proofErr w:type="spellEnd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пропозицiї</w:t>
            </w:r>
            <w:proofErr w:type="spellEnd"/>
            <w:r w:rsidR="00A543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121FC4" w:rsidRPr="00D53C13" w:rsidRDefault="00343FC7" w:rsidP="00D53C13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D53C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При наявності у складі пропозиції Учасника формальних </w:t>
            </w:r>
            <w:r w:rsidRPr="00D53C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lastRenderedPageBreak/>
              <w:t>помилок, Замовник залишає за собою право не відхиляти таку пропозицію.</w:t>
            </w:r>
          </w:p>
          <w:p w:rsidR="00343FC7" w:rsidRPr="00D53C13" w:rsidRDefault="00A8044D" w:rsidP="00A8044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  В</w:t>
            </w:r>
            <w:r w:rsidR="00343FC7" w:rsidRPr="00D53C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иправлення, закреслення тощо, зроблені в тендерній пропозиції не допускаються.</w:t>
            </w:r>
          </w:p>
        </w:tc>
      </w:tr>
      <w:tr w:rsidR="00FC7090" w:rsidRPr="00D53C13" w:rsidTr="00F50D95">
        <w:trPr>
          <w:trHeight w:val="520"/>
        </w:trPr>
        <w:tc>
          <w:tcPr>
            <w:tcW w:w="738" w:type="dxa"/>
          </w:tcPr>
          <w:p w:rsidR="00FC7090" w:rsidRPr="00D53C13" w:rsidRDefault="008C32F1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4.3</w:t>
            </w:r>
          </w:p>
        </w:tc>
        <w:tc>
          <w:tcPr>
            <w:tcW w:w="3232" w:type="dxa"/>
          </w:tcPr>
          <w:p w:rsidR="00FC7090" w:rsidRPr="00D53C13" w:rsidRDefault="00FC7090" w:rsidP="006B32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Порядок відхилення  пропозицій замовником</w:t>
            </w:r>
          </w:p>
        </w:tc>
        <w:tc>
          <w:tcPr>
            <w:tcW w:w="6367" w:type="dxa"/>
          </w:tcPr>
          <w:p w:rsidR="00FC7090" w:rsidRPr="00D53C13" w:rsidRDefault="00FC709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Замовник відхиляє пропозицію </w:t>
            </w:r>
            <w:r w:rsidR="00892653" w:rsidRPr="00D53C13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53C13">
              <w:rPr>
                <w:rFonts w:ascii="Times New Roman" w:hAnsi="Times New Roman" w:cs="Times New Roman"/>
                <w:lang w:val="uk-UA"/>
              </w:rPr>
              <w:t>в разі, якщо:</w:t>
            </w:r>
          </w:p>
          <w:p w:rsidR="00445D10" w:rsidRPr="00445D10" w:rsidRDefault="00445D10" w:rsidP="00445D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53"/>
            <w:bookmarkEnd w:id="1"/>
            <w:r w:rsidRPr="00445D10">
              <w:rPr>
                <w:rFonts w:ascii="Times New Roman" w:hAnsi="Times New Roman" w:cs="Times New Roman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</w:t>
            </w:r>
            <w:r>
              <w:rPr>
                <w:rFonts w:ascii="Times New Roman" w:hAnsi="Times New Roman" w:cs="Times New Roman"/>
                <w:lang w:val="uk-UA"/>
              </w:rPr>
              <w:t xml:space="preserve"> вимогам до предмета закупівлі;</w:t>
            </w:r>
          </w:p>
          <w:p w:rsidR="00445D10" w:rsidRPr="00445D10" w:rsidRDefault="00445D10" w:rsidP="00445D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5D10">
              <w:rPr>
                <w:rFonts w:ascii="Times New Roman" w:hAnsi="Times New Roman" w:cs="Times New Roman"/>
                <w:lang w:val="uk-UA"/>
              </w:rPr>
              <w:t>2) учасник не надав забезпечення пропозиції, якщо таке забе</w:t>
            </w:r>
            <w:r>
              <w:rPr>
                <w:rFonts w:ascii="Times New Roman" w:hAnsi="Times New Roman" w:cs="Times New Roman"/>
                <w:lang w:val="uk-UA"/>
              </w:rPr>
              <w:t>зпечення вимагалося замовником;</w:t>
            </w:r>
          </w:p>
          <w:p w:rsidR="00445D10" w:rsidRDefault="00445D10" w:rsidP="00445D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5D10">
              <w:rPr>
                <w:rFonts w:ascii="Times New Roman" w:hAnsi="Times New Roman" w:cs="Times New Roman"/>
                <w:lang w:val="uk-UA"/>
              </w:rPr>
              <w:t>3) учасник, який визначений переможцем спрощеної закупівлі, відмовився від ук</w:t>
            </w:r>
            <w:r>
              <w:rPr>
                <w:rFonts w:ascii="Times New Roman" w:hAnsi="Times New Roman" w:cs="Times New Roman"/>
                <w:lang w:val="uk-UA"/>
              </w:rPr>
              <w:t>ладення договору про закупівлю;</w:t>
            </w:r>
          </w:p>
          <w:p w:rsidR="00445D10" w:rsidRDefault="00445D10" w:rsidP="00445D1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5D10">
              <w:rPr>
                <w:rFonts w:ascii="Times New Roman" w:hAnsi="Times New Roman" w:cs="Times New Roman"/>
                <w:lang w:val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:rsidR="00892653" w:rsidRPr="00D53C13" w:rsidRDefault="00892653" w:rsidP="00445D1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Замовник відхиляє пропозицію учасника, який визнаний переможцем в разі, якщо: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забезпечення виконання договору,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якщо таке забезпечення вимагалося умовами оголошення;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замовнику відповідну інформацію про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право підписання договору про закупівлю;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замовнику копію ліцензії або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документа дозвільного характеру (у разі їх наявності) на провадження </w:t>
            </w:r>
            <w:r w:rsidR="001E25CB" w:rsidRPr="00D53C13">
              <w:rPr>
                <w:rFonts w:ascii="Times New Roman" w:hAnsi="Times New Roman" w:cs="Times New Roman"/>
                <w:lang w:val="uk-UA"/>
              </w:rPr>
              <w:t xml:space="preserve">певного виду господарської діяльності, якщо отримання дозволу або ліцензії на провадження </w:t>
            </w:r>
            <w:r w:rsidRPr="00D53C13">
              <w:rPr>
                <w:rFonts w:ascii="Times New Roman" w:hAnsi="Times New Roman" w:cs="Times New Roman"/>
                <w:lang w:val="uk-UA"/>
              </w:rPr>
              <w:t>такого виду діяльності, передбачено законом та у разі якщо про це було зазначено в оголошенні;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замовнику підписаний договір у строк,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визначений Законом.</w:t>
            </w:r>
          </w:p>
          <w:p w:rsidR="00391712" w:rsidRPr="00D53C13" w:rsidRDefault="00391712" w:rsidP="0039171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328E" w:rsidRPr="00741736" w:rsidTr="00F50D95">
        <w:trPr>
          <w:trHeight w:val="520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4.4</w:t>
            </w:r>
          </w:p>
        </w:tc>
        <w:tc>
          <w:tcPr>
            <w:tcW w:w="3232" w:type="dxa"/>
          </w:tcPr>
          <w:p w:rsidR="006B328E" w:rsidRPr="00D53C13" w:rsidRDefault="0006115C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Відміна замовником спрощеної закупівлі чи визнання її такою, що не відбулася</w:t>
            </w:r>
          </w:p>
        </w:tc>
        <w:tc>
          <w:tcPr>
            <w:tcW w:w="6367" w:type="dxa"/>
          </w:tcPr>
          <w:p w:rsidR="007541BB" w:rsidRDefault="006C2D40" w:rsidP="007541B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Замовник відміняє спрощену закупівлю в разі:</w:t>
            </w:r>
            <w:bookmarkStart w:id="2" w:name="n463"/>
            <w:bookmarkEnd w:id="2"/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відсутності подальшої потреби в зак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упівлі товарів, робіт і послуг;</w:t>
            </w:r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неможливості усунення порушень, що виникли через виявлені порушення законодавства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питань публічних закупівель;</w:t>
            </w:r>
          </w:p>
          <w:p w:rsid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F50D95" w:rsidRPr="00D53C13" w:rsidRDefault="00063571" w:rsidP="007541B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  <w:bookmarkStart w:id="3" w:name="n467"/>
            <w:bookmarkEnd w:id="3"/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відхилення всіх пропозицій зг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ідно з частиною 13 статті 14 ЗУ «Про публічні закупівлі»;</w:t>
            </w:r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відсутності пропозицій учасників для участі в 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ій.</w:t>
            </w:r>
          </w:p>
          <w:p w:rsidR="006C2D40" w:rsidRPr="00D53C13" w:rsidRDefault="007541BB" w:rsidP="007541B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може бути відмінена частково (за лотом).</w:t>
            </w:r>
          </w:p>
        </w:tc>
      </w:tr>
      <w:tr w:rsidR="006B328E" w:rsidRPr="00741736" w:rsidTr="00F50D95">
        <w:trPr>
          <w:trHeight w:val="273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4.5</w:t>
            </w:r>
          </w:p>
        </w:tc>
        <w:tc>
          <w:tcPr>
            <w:tcW w:w="3232" w:type="dxa"/>
          </w:tcPr>
          <w:p w:rsidR="006B328E" w:rsidRPr="00D53C13" w:rsidRDefault="006B328E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color w:val="auto"/>
                <w:lang w:val="uk-UA"/>
              </w:rPr>
              <w:t>Порядок звернень щодо роз’яснень причин відхилення пропозицій</w:t>
            </w:r>
          </w:p>
        </w:tc>
        <w:tc>
          <w:tcPr>
            <w:tcW w:w="6367" w:type="dxa"/>
          </w:tcPr>
          <w:p w:rsidR="00D63B87" w:rsidRPr="00D53C13" w:rsidRDefault="002D3CBB" w:rsidP="00D63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Pr="002D3C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  <w:r w:rsidR="00D63B87" w:rsidRPr="00D53C13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6B328E" w:rsidRPr="00D53C13">
              <w:rPr>
                <w:rFonts w:ascii="Times New Roman" w:hAnsi="Times New Roman" w:cs="Times New Roman"/>
                <w:lang w:val="uk-UA"/>
              </w:rPr>
              <w:t xml:space="preserve">Учасник має право </w:t>
            </w:r>
            <w:r w:rsidR="00D63B87"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звернутися до замовника та/або до органу, що здійснює контроль над замовником, або до суду.</w:t>
            </w:r>
          </w:p>
          <w:p w:rsidR="006B328E" w:rsidRPr="00D53C13" w:rsidRDefault="00D63B87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n475"/>
            <w:bookmarkEnd w:id="4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      Рішення та дії замовника можуть бути оскаржені учасником спрощеної закупівлі у судовому порядку.</w:t>
            </w:r>
          </w:p>
        </w:tc>
      </w:tr>
      <w:tr w:rsidR="006B328E" w:rsidRPr="00741736" w:rsidTr="00F50D95">
        <w:trPr>
          <w:trHeight w:val="520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4.6</w:t>
            </w:r>
          </w:p>
        </w:tc>
        <w:tc>
          <w:tcPr>
            <w:tcW w:w="3232" w:type="dxa"/>
          </w:tcPr>
          <w:p w:rsidR="006B328E" w:rsidRPr="00D53C13" w:rsidRDefault="009E5AF5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Укладення</w:t>
            </w:r>
            <w:r w:rsidR="006B328E"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договору про закупівлю </w:t>
            </w:r>
          </w:p>
        </w:tc>
        <w:tc>
          <w:tcPr>
            <w:tcW w:w="6367" w:type="dxa"/>
          </w:tcPr>
          <w:p w:rsidR="002D3CBB" w:rsidRDefault="002D3CBB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2D3CB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  <w:r w:rsidR="003C0E9F" w:rsidRPr="00D53C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</w:p>
          <w:p w:rsidR="00DA1B8F" w:rsidRDefault="002D3CBB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="003C0E9F" w:rsidRPr="00D53C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="00E10DA5" w:rsidRPr="00D53C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:rsidR="006B328E" w:rsidRPr="00D53C13" w:rsidRDefault="003C0E9F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>Про</w:t>
            </w:r>
            <w:r w:rsidR="008276D1" w:rsidRPr="00D53C13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кт Договору про закупівлю викладено в </w:t>
            </w:r>
            <w:r w:rsidR="006B328E"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293D51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3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до ц</w:t>
            </w:r>
            <w:r w:rsidR="009E5AF5" w:rsidRPr="00D53C13">
              <w:rPr>
                <w:rFonts w:ascii="Times New Roman" w:eastAsia="Times New Roman" w:hAnsi="Times New Roman" w:cs="Times New Roman"/>
                <w:lang w:val="uk-UA"/>
              </w:rPr>
              <w:t>ього оголошення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392FCD" w:rsidRPr="00D53C13" w:rsidRDefault="00392FCD" w:rsidP="00DA1B8F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    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(у т.ч. ціни за одиницю товару). У разі якщо договір укладено з порушенням</w:t>
            </w:r>
            <w:r w:rsidR="00B65A42"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вимог частини 4 статті 41 Закону, він є нікчемним.</w:t>
            </w:r>
          </w:p>
          <w:p w:rsidR="00B65A42" w:rsidRPr="00D53C13" w:rsidRDefault="00B65A42" w:rsidP="00A8044D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    Ціна договору може відрізнятись від</w:t>
            </w:r>
            <w:r w:rsidR="00DA1B8F">
              <w:rPr>
                <w:rFonts w:ascii="Times New Roman" w:eastAsia="Times New Roman" w:hAnsi="Times New Roman" w:cs="Times New Roman"/>
                <w:lang w:val="uk-UA"/>
              </w:rPr>
              <w:t xml:space="preserve"> ціни пропозиції переможця лише </w:t>
            </w:r>
            <w:r w:rsidRPr="00A8044D">
              <w:rPr>
                <w:rFonts w:ascii="Times New Roman" w:eastAsia="Times New Roman" w:hAnsi="Times New Roman" w:cs="Times New Roman"/>
                <w:lang w:val="uk-UA"/>
              </w:rPr>
              <w:t>у випадку перерахунку ціни за результатами</w:t>
            </w:r>
            <w:r w:rsidR="00A804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>електронного аукціону в бік зменшення ціни пропозиції учасника без зменшення обсягів закупівлі.</w:t>
            </w:r>
          </w:p>
          <w:p w:rsidR="00B65A42" w:rsidRPr="00D53C13" w:rsidRDefault="00B65A42" w:rsidP="00DA1B8F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B328E" w:rsidRPr="00D53C13" w:rsidTr="00F50D95">
        <w:trPr>
          <w:trHeight w:val="520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color w:val="auto"/>
                <w:lang w:val="uk-UA"/>
              </w:rPr>
              <w:t>4.7</w:t>
            </w:r>
          </w:p>
        </w:tc>
        <w:tc>
          <w:tcPr>
            <w:tcW w:w="3232" w:type="dxa"/>
          </w:tcPr>
          <w:p w:rsidR="006B328E" w:rsidRPr="00D53C13" w:rsidRDefault="002D3CBB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</w:t>
            </w:r>
            <w:r w:rsidRPr="002D3CB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озмір та умови надання забезпечення виконання договору про закупівлю</w:t>
            </w:r>
          </w:p>
        </w:tc>
        <w:tc>
          <w:tcPr>
            <w:tcW w:w="6367" w:type="dxa"/>
          </w:tcPr>
          <w:p w:rsidR="006B328E" w:rsidRPr="00D53C13" w:rsidRDefault="006B328E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F50D95" w:rsidRPr="00D53C1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D53C1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  <w:tr w:rsidR="00EA4949" w:rsidRPr="00741736" w:rsidTr="00F50D95">
        <w:trPr>
          <w:trHeight w:val="520"/>
        </w:trPr>
        <w:tc>
          <w:tcPr>
            <w:tcW w:w="738" w:type="dxa"/>
          </w:tcPr>
          <w:p w:rsidR="00EA4949" w:rsidRPr="00D53C13" w:rsidRDefault="00EA4949" w:rsidP="006B328E">
            <w:pPr>
              <w:pStyle w:val="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4.8</w:t>
            </w:r>
          </w:p>
        </w:tc>
        <w:tc>
          <w:tcPr>
            <w:tcW w:w="3232" w:type="dxa"/>
          </w:tcPr>
          <w:p w:rsidR="00EA4949" w:rsidRDefault="00EA4949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Додатки до оголошення</w:t>
            </w:r>
          </w:p>
        </w:tc>
        <w:tc>
          <w:tcPr>
            <w:tcW w:w="6367" w:type="dxa"/>
          </w:tcPr>
          <w:p w:rsidR="00EA4949" w:rsidRDefault="00EA4949" w:rsidP="00EA49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60D9A">
              <w:rPr>
                <w:rFonts w:ascii="Times New Roman" w:eastAsia="Times New Roman" w:hAnsi="Times New Roman"/>
                <w:lang w:val="uk-UA" w:eastAsia="ru-RU"/>
              </w:rPr>
              <w:t>Додаток 1 форма Тендерної пропозиції</w:t>
            </w:r>
          </w:p>
          <w:p w:rsidR="00EA4949" w:rsidRDefault="00EA4949" w:rsidP="00EA4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60D9A">
              <w:rPr>
                <w:rFonts w:ascii="Times New Roman" w:eastAsia="Times New Roman" w:hAnsi="Times New Roman"/>
                <w:lang w:val="uk-UA" w:eastAsia="ru-RU"/>
              </w:rPr>
              <w:t>Додаток 2 Технічна специфікація</w:t>
            </w:r>
          </w:p>
          <w:p w:rsidR="00EA4949" w:rsidRDefault="00EA4949" w:rsidP="00EA49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60D9A">
              <w:rPr>
                <w:rFonts w:ascii="Times New Roman" w:eastAsia="Times New Roman" w:hAnsi="Times New Roman"/>
                <w:lang w:val="uk-UA" w:eastAsia="ru-RU"/>
              </w:rPr>
              <w:t>Додаток 3 Проект договору</w:t>
            </w:r>
          </w:p>
          <w:p w:rsidR="00EA4949" w:rsidRDefault="00EA4949" w:rsidP="00EA49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Додаток 4 Вимоги</w:t>
            </w:r>
            <w:r w:rsidRPr="004B58E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>до учасників</w:t>
            </w:r>
          </w:p>
          <w:p w:rsidR="00EA4949" w:rsidRPr="00D53C13" w:rsidRDefault="00EA4949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</w:tbl>
    <w:p w:rsidR="007731DB" w:rsidRPr="007734E7" w:rsidRDefault="007731DB" w:rsidP="007731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sectPr w:rsidR="007731DB" w:rsidRPr="007734E7" w:rsidSect="00634217">
      <w:footerReference w:type="default" r:id="rId10"/>
      <w:pgSz w:w="12240" w:h="15840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F8" w:rsidRDefault="008D23F8" w:rsidP="0026122D">
      <w:pPr>
        <w:spacing w:after="0" w:line="240" w:lineRule="auto"/>
      </w:pPr>
      <w:r>
        <w:separator/>
      </w:r>
    </w:p>
  </w:endnote>
  <w:endnote w:type="continuationSeparator" w:id="0">
    <w:p w:rsidR="008D23F8" w:rsidRDefault="008D23F8" w:rsidP="002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844895"/>
      <w:docPartObj>
        <w:docPartGallery w:val="Page Numbers (Bottom of Page)"/>
        <w:docPartUnique/>
      </w:docPartObj>
    </w:sdtPr>
    <w:sdtEndPr/>
    <w:sdtContent>
      <w:p w:rsidR="00634217" w:rsidRDefault="00E97BF5">
        <w:pPr>
          <w:pStyle w:val="ab"/>
          <w:jc w:val="center"/>
        </w:pPr>
        <w:r>
          <w:fldChar w:fldCharType="begin"/>
        </w:r>
        <w:r w:rsidR="000E59D9">
          <w:instrText>PAGE   \* MERGEFORMAT</w:instrText>
        </w:r>
        <w:r>
          <w:fldChar w:fldCharType="separate"/>
        </w:r>
        <w:r w:rsidR="00741736" w:rsidRPr="00741736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634217" w:rsidRPr="004E5D90" w:rsidRDefault="00634217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F8" w:rsidRDefault="008D23F8" w:rsidP="0026122D">
      <w:pPr>
        <w:spacing w:after="0" w:line="240" w:lineRule="auto"/>
      </w:pPr>
      <w:r>
        <w:separator/>
      </w:r>
    </w:p>
  </w:footnote>
  <w:footnote w:type="continuationSeparator" w:id="0">
    <w:p w:rsidR="008D23F8" w:rsidRDefault="008D23F8" w:rsidP="0026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B61"/>
    <w:multiLevelType w:val="hybridMultilevel"/>
    <w:tmpl w:val="F5A4541C"/>
    <w:lvl w:ilvl="0" w:tplc="0FB4E2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7DE"/>
    <w:multiLevelType w:val="hybridMultilevel"/>
    <w:tmpl w:val="41000066"/>
    <w:lvl w:ilvl="0" w:tplc="8834B7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B70C8B"/>
    <w:multiLevelType w:val="hybridMultilevel"/>
    <w:tmpl w:val="E9B2EED0"/>
    <w:lvl w:ilvl="0" w:tplc="337CA3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6C0A"/>
    <w:multiLevelType w:val="multilevel"/>
    <w:tmpl w:val="6D3A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9AD08C0"/>
    <w:multiLevelType w:val="multilevel"/>
    <w:tmpl w:val="976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30174"/>
    <w:multiLevelType w:val="hybridMultilevel"/>
    <w:tmpl w:val="33466AC6"/>
    <w:lvl w:ilvl="0" w:tplc="2EBC5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A721BA"/>
    <w:multiLevelType w:val="multilevel"/>
    <w:tmpl w:val="47A4D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B2589"/>
    <w:multiLevelType w:val="hybridMultilevel"/>
    <w:tmpl w:val="ABAA121C"/>
    <w:lvl w:ilvl="0" w:tplc="7EFC0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DE"/>
    <w:rsid w:val="00000557"/>
    <w:rsid w:val="0000339B"/>
    <w:rsid w:val="00023669"/>
    <w:rsid w:val="00027AB1"/>
    <w:rsid w:val="0003232A"/>
    <w:rsid w:val="00041071"/>
    <w:rsid w:val="00045A34"/>
    <w:rsid w:val="00055773"/>
    <w:rsid w:val="000566D4"/>
    <w:rsid w:val="0006115C"/>
    <w:rsid w:val="00063571"/>
    <w:rsid w:val="000667F8"/>
    <w:rsid w:val="00075360"/>
    <w:rsid w:val="00080AE0"/>
    <w:rsid w:val="0008348E"/>
    <w:rsid w:val="00095F26"/>
    <w:rsid w:val="000B49B6"/>
    <w:rsid w:val="000C47BB"/>
    <w:rsid w:val="000D70A3"/>
    <w:rsid w:val="000E2E13"/>
    <w:rsid w:val="000E59D9"/>
    <w:rsid w:val="000F480A"/>
    <w:rsid w:val="000F6EC7"/>
    <w:rsid w:val="00106400"/>
    <w:rsid w:val="00106F41"/>
    <w:rsid w:val="001202FD"/>
    <w:rsid w:val="00121842"/>
    <w:rsid w:val="00121FC4"/>
    <w:rsid w:val="00123CBC"/>
    <w:rsid w:val="001433D4"/>
    <w:rsid w:val="00143D96"/>
    <w:rsid w:val="001663C7"/>
    <w:rsid w:val="00172094"/>
    <w:rsid w:val="0017687F"/>
    <w:rsid w:val="00176939"/>
    <w:rsid w:val="00176A24"/>
    <w:rsid w:val="0018245F"/>
    <w:rsid w:val="00183691"/>
    <w:rsid w:val="00190284"/>
    <w:rsid w:val="00190ABB"/>
    <w:rsid w:val="001A21AE"/>
    <w:rsid w:val="001A3D7F"/>
    <w:rsid w:val="001B0140"/>
    <w:rsid w:val="001B39A2"/>
    <w:rsid w:val="001B47FB"/>
    <w:rsid w:val="001C5450"/>
    <w:rsid w:val="001D6BB4"/>
    <w:rsid w:val="001D7615"/>
    <w:rsid w:val="001D7CBE"/>
    <w:rsid w:val="001E1D52"/>
    <w:rsid w:val="001E25CB"/>
    <w:rsid w:val="001F7680"/>
    <w:rsid w:val="002040A2"/>
    <w:rsid w:val="002051BC"/>
    <w:rsid w:val="00207C22"/>
    <w:rsid w:val="00230498"/>
    <w:rsid w:val="00234907"/>
    <w:rsid w:val="00243EE2"/>
    <w:rsid w:val="0026122D"/>
    <w:rsid w:val="0026194B"/>
    <w:rsid w:val="00276CEE"/>
    <w:rsid w:val="00276FD3"/>
    <w:rsid w:val="00283A4E"/>
    <w:rsid w:val="00286389"/>
    <w:rsid w:val="0029003B"/>
    <w:rsid w:val="00293D51"/>
    <w:rsid w:val="00297EB1"/>
    <w:rsid w:val="002B1713"/>
    <w:rsid w:val="002C17F3"/>
    <w:rsid w:val="002C2686"/>
    <w:rsid w:val="002D3CBB"/>
    <w:rsid w:val="002E5094"/>
    <w:rsid w:val="002E5B24"/>
    <w:rsid w:val="00322CA9"/>
    <w:rsid w:val="00324306"/>
    <w:rsid w:val="00325113"/>
    <w:rsid w:val="00326A7C"/>
    <w:rsid w:val="00327840"/>
    <w:rsid w:val="00331961"/>
    <w:rsid w:val="00333D19"/>
    <w:rsid w:val="00341396"/>
    <w:rsid w:val="00343FC7"/>
    <w:rsid w:val="00352AC1"/>
    <w:rsid w:val="00361986"/>
    <w:rsid w:val="00363CE6"/>
    <w:rsid w:val="00375703"/>
    <w:rsid w:val="00377B8C"/>
    <w:rsid w:val="003877D7"/>
    <w:rsid w:val="00391712"/>
    <w:rsid w:val="00392FCD"/>
    <w:rsid w:val="0039495C"/>
    <w:rsid w:val="003952AC"/>
    <w:rsid w:val="00397D9C"/>
    <w:rsid w:val="003A7AEE"/>
    <w:rsid w:val="003B5ECC"/>
    <w:rsid w:val="003B6212"/>
    <w:rsid w:val="003B6745"/>
    <w:rsid w:val="003C0D3A"/>
    <w:rsid w:val="003C0E9F"/>
    <w:rsid w:val="003C35C7"/>
    <w:rsid w:val="003C3A81"/>
    <w:rsid w:val="003F2B06"/>
    <w:rsid w:val="0041033C"/>
    <w:rsid w:val="004136B9"/>
    <w:rsid w:val="00415077"/>
    <w:rsid w:val="00417B77"/>
    <w:rsid w:val="0043205C"/>
    <w:rsid w:val="00433FF5"/>
    <w:rsid w:val="00445747"/>
    <w:rsid w:val="00445D10"/>
    <w:rsid w:val="00452F2E"/>
    <w:rsid w:val="00453B0B"/>
    <w:rsid w:val="004554A9"/>
    <w:rsid w:val="004561F5"/>
    <w:rsid w:val="00456C20"/>
    <w:rsid w:val="00460D9A"/>
    <w:rsid w:val="00472516"/>
    <w:rsid w:val="0047343E"/>
    <w:rsid w:val="004744A7"/>
    <w:rsid w:val="00485373"/>
    <w:rsid w:val="00490715"/>
    <w:rsid w:val="00491531"/>
    <w:rsid w:val="004A0096"/>
    <w:rsid w:val="004A5126"/>
    <w:rsid w:val="004B1691"/>
    <w:rsid w:val="004B1C34"/>
    <w:rsid w:val="004B58E8"/>
    <w:rsid w:val="004C06A4"/>
    <w:rsid w:val="004C1626"/>
    <w:rsid w:val="004C732C"/>
    <w:rsid w:val="004D7D02"/>
    <w:rsid w:val="004F2E11"/>
    <w:rsid w:val="004F4715"/>
    <w:rsid w:val="00503471"/>
    <w:rsid w:val="00503A76"/>
    <w:rsid w:val="00507C8F"/>
    <w:rsid w:val="00510F8E"/>
    <w:rsid w:val="00533517"/>
    <w:rsid w:val="005340C1"/>
    <w:rsid w:val="005439B5"/>
    <w:rsid w:val="005547BE"/>
    <w:rsid w:val="00570005"/>
    <w:rsid w:val="00570C51"/>
    <w:rsid w:val="0057155C"/>
    <w:rsid w:val="0057398C"/>
    <w:rsid w:val="00576D7B"/>
    <w:rsid w:val="005912E9"/>
    <w:rsid w:val="00594583"/>
    <w:rsid w:val="0059686B"/>
    <w:rsid w:val="005A1FE0"/>
    <w:rsid w:val="005B2000"/>
    <w:rsid w:val="005C33BF"/>
    <w:rsid w:val="005C3E8E"/>
    <w:rsid w:val="005D33CC"/>
    <w:rsid w:val="005E4221"/>
    <w:rsid w:val="005E610B"/>
    <w:rsid w:val="005F05D7"/>
    <w:rsid w:val="005F21C4"/>
    <w:rsid w:val="005F6389"/>
    <w:rsid w:val="0060550F"/>
    <w:rsid w:val="0061148B"/>
    <w:rsid w:val="006156C8"/>
    <w:rsid w:val="00615F81"/>
    <w:rsid w:val="00626341"/>
    <w:rsid w:val="00634217"/>
    <w:rsid w:val="00636983"/>
    <w:rsid w:val="00655D25"/>
    <w:rsid w:val="006608A3"/>
    <w:rsid w:val="0066326E"/>
    <w:rsid w:val="00663340"/>
    <w:rsid w:val="006650A9"/>
    <w:rsid w:val="006665D8"/>
    <w:rsid w:val="006672A5"/>
    <w:rsid w:val="006767B5"/>
    <w:rsid w:val="006868C6"/>
    <w:rsid w:val="00687431"/>
    <w:rsid w:val="006911D0"/>
    <w:rsid w:val="00692711"/>
    <w:rsid w:val="006957FD"/>
    <w:rsid w:val="006B328E"/>
    <w:rsid w:val="006B6253"/>
    <w:rsid w:val="006C2D40"/>
    <w:rsid w:val="006D4168"/>
    <w:rsid w:val="006D4D8C"/>
    <w:rsid w:val="006E4BF1"/>
    <w:rsid w:val="006E771F"/>
    <w:rsid w:val="007129AD"/>
    <w:rsid w:val="00724B5D"/>
    <w:rsid w:val="00730BE2"/>
    <w:rsid w:val="00734CF6"/>
    <w:rsid w:val="00741736"/>
    <w:rsid w:val="00743266"/>
    <w:rsid w:val="007442F0"/>
    <w:rsid w:val="00753061"/>
    <w:rsid w:val="007541BB"/>
    <w:rsid w:val="00755322"/>
    <w:rsid w:val="007668DA"/>
    <w:rsid w:val="00772A39"/>
    <w:rsid w:val="007731DB"/>
    <w:rsid w:val="007734E7"/>
    <w:rsid w:val="007740C2"/>
    <w:rsid w:val="00775EF2"/>
    <w:rsid w:val="00790B99"/>
    <w:rsid w:val="007946C0"/>
    <w:rsid w:val="0079785F"/>
    <w:rsid w:val="007C066E"/>
    <w:rsid w:val="007C7122"/>
    <w:rsid w:val="007D6081"/>
    <w:rsid w:val="007E32B3"/>
    <w:rsid w:val="007E4801"/>
    <w:rsid w:val="007E4A21"/>
    <w:rsid w:val="007F7F67"/>
    <w:rsid w:val="00803EAF"/>
    <w:rsid w:val="0081000D"/>
    <w:rsid w:val="0081126F"/>
    <w:rsid w:val="00815DF5"/>
    <w:rsid w:val="008169A6"/>
    <w:rsid w:val="008276D1"/>
    <w:rsid w:val="0083308D"/>
    <w:rsid w:val="008346BF"/>
    <w:rsid w:val="00843174"/>
    <w:rsid w:val="00846DE2"/>
    <w:rsid w:val="00863B99"/>
    <w:rsid w:val="00864362"/>
    <w:rsid w:val="00865A28"/>
    <w:rsid w:val="00867390"/>
    <w:rsid w:val="0086792E"/>
    <w:rsid w:val="00871B32"/>
    <w:rsid w:val="008749C8"/>
    <w:rsid w:val="008767A9"/>
    <w:rsid w:val="00880968"/>
    <w:rsid w:val="00880B1E"/>
    <w:rsid w:val="00880E37"/>
    <w:rsid w:val="008837B0"/>
    <w:rsid w:val="00883801"/>
    <w:rsid w:val="0088493E"/>
    <w:rsid w:val="00886320"/>
    <w:rsid w:val="00886380"/>
    <w:rsid w:val="00890DD0"/>
    <w:rsid w:val="00892653"/>
    <w:rsid w:val="00892755"/>
    <w:rsid w:val="008A2CF9"/>
    <w:rsid w:val="008A6F07"/>
    <w:rsid w:val="008A7A40"/>
    <w:rsid w:val="008B3CA2"/>
    <w:rsid w:val="008C1AF3"/>
    <w:rsid w:val="008C32F1"/>
    <w:rsid w:val="008D23F8"/>
    <w:rsid w:val="008D2531"/>
    <w:rsid w:val="008D2989"/>
    <w:rsid w:val="008D3890"/>
    <w:rsid w:val="008D618E"/>
    <w:rsid w:val="008E0CC3"/>
    <w:rsid w:val="008E181B"/>
    <w:rsid w:val="008E29CE"/>
    <w:rsid w:val="008E708A"/>
    <w:rsid w:val="009011C7"/>
    <w:rsid w:val="009016D1"/>
    <w:rsid w:val="0090418A"/>
    <w:rsid w:val="00907B3F"/>
    <w:rsid w:val="00917D2B"/>
    <w:rsid w:val="009323BB"/>
    <w:rsid w:val="00935900"/>
    <w:rsid w:val="009434F3"/>
    <w:rsid w:val="00952A41"/>
    <w:rsid w:val="00954159"/>
    <w:rsid w:val="0096294C"/>
    <w:rsid w:val="00965135"/>
    <w:rsid w:val="00980E02"/>
    <w:rsid w:val="009A1BF2"/>
    <w:rsid w:val="009B3091"/>
    <w:rsid w:val="009C5622"/>
    <w:rsid w:val="009D09FE"/>
    <w:rsid w:val="009E5AF5"/>
    <w:rsid w:val="009E6EDD"/>
    <w:rsid w:val="00A030DC"/>
    <w:rsid w:val="00A16E6C"/>
    <w:rsid w:val="00A22FEA"/>
    <w:rsid w:val="00A24A4A"/>
    <w:rsid w:val="00A36925"/>
    <w:rsid w:val="00A4586C"/>
    <w:rsid w:val="00A5439A"/>
    <w:rsid w:val="00A54ACB"/>
    <w:rsid w:val="00A57A71"/>
    <w:rsid w:val="00A653C0"/>
    <w:rsid w:val="00A6778E"/>
    <w:rsid w:val="00A73EF7"/>
    <w:rsid w:val="00A742DA"/>
    <w:rsid w:val="00A8044D"/>
    <w:rsid w:val="00AB1F47"/>
    <w:rsid w:val="00AB61D2"/>
    <w:rsid w:val="00AD1551"/>
    <w:rsid w:val="00AE3B82"/>
    <w:rsid w:val="00AE512F"/>
    <w:rsid w:val="00AE6AD8"/>
    <w:rsid w:val="00B005B6"/>
    <w:rsid w:val="00B04505"/>
    <w:rsid w:val="00B13F16"/>
    <w:rsid w:val="00B144C4"/>
    <w:rsid w:val="00B15894"/>
    <w:rsid w:val="00B22671"/>
    <w:rsid w:val="00B30818"/>
    <w:rsid w:val="00B34962"/>
    <w:rsid w:val="00B4093E"/>
    <w:rsid w:val="00B43930"/>
    <w:rsid w:val="00B51475"/>
    <w:rsid w:val="00B51556"/>
    <w:rsid w:val="00B54FC5"/>
    <w:rsid w:val="00B65A42"/>
    <w:rsid w:val="00B66AF8"/>
    <w:rsid w:val="00B67F29"/>
    <w:rsid w:val="00B70017"/>
    <w:rsid w:val="00B861F3"/>
    <w:rsid w:val="00BA1641"/>
    <w:rsid w:val="00BA53D2"/>
    <w:rsid w:val="00BB4DF9"/>
    <w:rsid w:val="00BC214A"/>
    <w:rsid w:val="00BF56B0"/>
    <w:rsid w:val="00C023EA"/>
    <w:rsid w:val="00C0418C"/>
    <w:rsid w:val="00C164AB"/>
    <w:rsid w:val="00C223FE"/>
    <w:rsid w:val="00C370C3"/>
    <w:rsid w:val="00C37855"/>
    <w:rsid w:val="00C37E0C"/>
    <w:rsid w:val="00C4042F"/>
    <w:rsid w:val="00C41126"/>
    <w:rsid w:val="00C47E1E"/>
    <w:rsid w:val="00C5118E"/>
    <w:rsid w:val="00C57070"/>
    <w:rsid w:val="00C570CB"/>
    <w:rsid w:val="00C6136A"/>
    <w:rsid w:val="00C61A99"/>
    <w:rsid w:val="00C64728"/>
    <w:rsid w:val="00C96649"/>
    <w:rsid w:val="00C96BDE"/>
    <w:rsid w:val="00CA462C"/>
    <w:rsid w:val="00CB281A"/>
    <w:rsid w:val="00CB5820"/>
    <w:rsid w:val="00CB6394"/>
    <w:rsid w:val="00CC0942"/>
    <w:rsid w:val="00CC10A4"/>
    <w:rsid w:val="00CC112D"/>
    <w:rsid w:val="00CF1EB1"/>
    <w:rsid w:val="00CF56C4"/>
    <w:rsid w:val="00D06736"/>
    <w:rsid w:val="00D11337"/>
    <w:rsid w:val="00D17DD8"/>
    <w:rsid w:val="00D24A2D"/>
    <w:rsid w:val="00D273F4"/>
    <w:rsid w:val="00D27443"/>
    <w:rsid w:val="00D53C13"/>
    <w:rsid w:val="00D63B87"/>
    <w:rsid w:val="00D71E15"/>
    <w:rsid w:val="00D72730"/>
    <w:rsid w:val="00D75D4A"/>
    <w:rsid w:val="00D83B7B"/>
    <w:rsid w:val="00DA0D07"/>
    <w:rsid w:val="00DA1B8F"/>
    <w:rsid w:val="00DC1076"/>
    <w:rsid w:val="00DC1B7D"/>
    <w:rsid w:val="00DC3AC7"/>
    <w:rsid w:val="00DC7404"/>
    <w:rsid w:val="00DE6197"/>
    <w:rsid w:val="00DF49E2"/>
    <w:rsid w:val="00E05282"/>
    <w:rsid w:val="00E05E6F"/>
    <w:rsid w:val="00E05F80"/>
    <w:rsid w:val="00E10DA5"/>
    <w:rsid w:val="00E23A62"/>
    <w:rsid w:val="00E45E6B"/>
    <w:rsid w:val="00E46EE1"/>
    <w:rsid w:val="00E553AF"/>
    <w:rsid w:val="00E579A4"/>
    <w:rsid w:val="00E61F7C"/>
    <w:rsid w:val="00E64800"/>
    <w:rsid w:val="00E6493C"/>
    <w:rsid w:val="00E6635F"/>
    <w:rsid w:val="00E72DFD"/>
    <w:rsid w:val="00E766ED"/>
    <w:rsid w:val="00E771F6"/>
    <w:rsid w:val="00E77C5A"/>
    <w:rsid w:val="00E77C77"/>
    <w:rsid w:val="00E95830"/>
    <w:rsid w:val="00E97BF5"/>
    <w:rsid w:val="00EA44B0"/>
    <w:rsid w:val="00EA4949"/>
    <w:rsid w:val="00EB18F2"/>
    <w:rsid w:val="00EB656C"/>
    <w:rsid w:val="00EC554A"/>
    <w:rsid w:val="00ED48C8"/>
    <w:rsid w:val="00ED51B3"/>
    <w:rsid w:val="00EE148D"/>
    <w:rsid w:val="00EE2EAE"/>
    <w:rsid w:val="00F06B04"/>
    <w:rsid w:val="00F23110"/>
    <w:rsid w:val="00F33F65"/>
    <w:rsid w:val="00F50D95"/>
    <w:rsid w:val="00F53DA3"/>
    <w:rsid w:val="00F56906"/>
    <w:rsid w:val="00F56B86"/>
    <w:rsid w:val="00F6390A"/>
    <w:rsid w:val="00F7641B"/>
    <w:rsid w:val="00F81F16"/>
    <w:rsid w:val="00F83E83"/>
    <w:rsid w:val="00F93C61"/>
    <w:rsid w:val="00F96B5B"/>
    <w:rsid w:val="00FA3313"/>
    <w:rsid w:val="00FA4FD6"/>
    <w:rsid w:val="00FB4BF4"/>
    <w:rsid w:val="00FC55F9"/>
    <w:rsid w:val="00FC7090"/>
    <w:rsid w:val="00FC7346"/>
    <w:rsid w:val="00FD445E"/>
    <w:rsid w:val="00FD4B96"/>
    <w:rsid w:val="00FD535B"/>
    <w:rsid w:val="00FE3478"/>
    <w:rsid w:val="00FF1F84"/>
    <w:rsid w:val="00FF22D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0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">
    <w:name w:val="Body Text Indent 2"/>
    <w:basedOn w:val="a"/>
    <w:link w:val="20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1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msonormalcxspmiddlecxspmiddle">
    <w:name w:val="msonormalcxspmiddlecxspmiddle"/>
    <w:basedOn w:val="a"/>
    <w:rsid w:val="003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cxspmiddle">
    <w:name w:val="msonormalcxspmiddlecxspmiddlecxspmiddle"/>
    <w:basedOn w:val="a"/>
    <w:rsid w:val="003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43">
          <w:marLeft w:val="-49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FE1F-2F2B-437E-BC60-048A8C89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AdminPRO</cp:lastModifiedBy>
  <cp:revision>142</cp:revision>
  <cp:lastPrinted>2020-05-20T13:11:00Z</cp:lastPrinted>
  <dcterms:created xsi:type="dcterms:W3CDTF">2020-05-26T07:21:00Z</dcterms:created>
  <dcterms:modified xsi:type="dcterms:W3CDTF">2022-07-11T14:07:00Z</dcterms:modified>
</cp:coreProperties>
</file>