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1621"/>
        <w:gridCol w:w="520"/>
        <w:gridCol w:w="1635"/>
        <w:gridCol w:w="2631"/>
        <w:gridCol w:w="660"/>
        <w:gridCol w:w="1062"/>
        <w:gridCol w:w="1500"/>
      </w:tblGrid>
      <w:tr w:rsidR="0074147E" w:rsidRPr="0074147E" w14:paraId="52E6D159" w14:textId="77777777" w:rsidTr="00B36950">
        <w:trPr>
          <w:trHeight w:val="983"/>
        </w:trPr>
        <w:tc>
          <w:tcPr>
            <w:tcW w:w="1621" w:type="dxa"/>
            <w:hideMark/>
          </w:tcPr>
          <w:p w14:paraId="23BE08BC" w14:textId="77777777" w:rsidR="0074147E" w:rsidRPr="0074147E" w:rsidRDefault="0074147E" w:rsidP="0074147E">
            <w:pPr>
              <w:rPr>
                <w:b/>
                <w:bCs/>
              </w:rPr>
            </w:pPr>
            <w:r w:rsidRPr="0074147E">
              <w:rPr>
                <w:b/>
                <w:bCs/>
              </w:rPr>
              <w:t>КОД НК</w:t>
            </w:r>
          </w:p>
        </w:tc>
        <w:tc>
          <w:tcPr>
            <w:tcW w:w="520" w:type="dxa"/>
            <w:hideMark/>
          </w:tcPr>
          <w:p w14:paraId="4C61DA94" w14:textId="77777777" w:rsidR="0074147E" w:rsidRPr="0074147E" w:rsidRDefault="0074147E" w:rsidP="0074147E">
            <w:pPr>
              <w:rPr>
                <w:b/>
                <w:bCs/>
              </w:rPr>
            </w:pPr>
            <w:r w:rsidRPr="0074147E">
              <w:rPr>
                <w:b/>
                <w:bCs/>
              </w:rPr>
              <w:t>№  з/п</w:t>
            </w:r>
          </w:p>
        </w:tc>
        <w:tc>
          <w:tcPr>
            <w:tcW w:w="1635" w:type="dxa"/>
            <w:hideMark/>
          </w:tcPr>
          <w:p w14:paraId="610B4824" w14:textId="77777777" w:rsidR="0074147E" w:rsidRPr="0074147E" w:rsidRDefault="0074147E" w:rsidP="0074147E">
            <w:pPr>
              <w:rPr>
                <w:b/>
                <w:bCs/>
              </w:rPr>
            </w:pPr>
            <w:r w:rsidRPr="0074147E">
              <w:rPr>
                <w:b/>
                <w:bCs/>
              </w:rPr>
              <w:t>Найменування</w:t>
            </w:r>
          </w:p>
        </w:tc>
        <w:tc>
          <w:tcPr>
            <w:tcW w:w="2631" w:type="dxa"/>
            <w:hideMark/>
          </w:tcPr>
          <w:p w14:paraId="08DB67E5" w14:textId="77777777" w:rsidR="0074147E" w:rsidRPr="0074147E" w:rsidRDefault="0074147E" w:rsidP="0074147E">
            <w:pPr>
              <w:rPr>
                <w:b/>
                <w:bCs/>
              </w:rPr>
            </w:pPr>
            <w:r w:rsidRPr="0074147E">
              <w:rPr>
                <w:b/>
                <w:bCs/>
              </w:rPr>
              <w:t>Медико-технічні умови</w:t>
            </w:r>
          </w:p>
        </w:tc>
        <w:tc>
          <w:tcPr>
            <w:tcW w:w="660" w:type="dxa"/>
            <w:hideMark/>
          </w:tcPr>
          <w:p w14:paraId="642D755C" w14:textId="77777777" w:rsidR="0074147E" w:rsidRPr="0074147E" w:rsidRDefault="0074147E" w:rsidP="0074147E">
            <w:pPr>
              <w:rPr>
                <w:b/>
                <w:bCs/>
              </w:rPr>
            </w:pPr>
            <w:r w:rsidRPr="0074147E">
              <w:rPr>
                <w:b/>
                <w:bCs/>
              </w:rPr>
              <w:t xml:space="preserve">Од. </w:t>
            </w:r>
            <w:proofErr w:type="spellStart"/>
            <w:r w:rsidRPr="0074147E">
              <w:rPr>
                <w:b/>
                <w:bCs/>
              </w:rPr>
              <w:t>вим</w:t>
            </w:r>
            <w:proofErr w:type="spellEnd"/>
            <w:r w:rsidRPr="0074147E">
              <w:rPr>
                <w:b/>
                <w:bCs/>
              </w:rPr>
              <w:t>.</w:t>
            </w:r>
          </w:p>
        </w:tc>
        <w:tc>
          <w:tcPr>
            <w:tcW w:w="441" w:type="dxa"/>
            <w:hideMark/>
          </w:tcPr>
          <w:p w14:paraId="3EFC3AF7" w14:textId="77777777" w:rsidR="0074147E" w:rsidRPr="0074147E" w:rsidRDefault="0074147E" w:rsidP="0074147E">
            <w:pPr>
              <w:rPr>
                <w:b/>
                <w:bCs/>
              </w:rPr>
            </w:pPr>
            <w:r w:rsidRPr="0074147E">
              <w:rPr>
                <w:b/>
                <w:bCs/>
              </w:rPr>
              <w:t>Кількість</w:t>
            </w:r>
          </w:p>
        </w:tc>
        <w:tc>
          <w:tcPr>
            <w:tcW w:w="2121" w:type="dxa"/>
            <w:hideMark/>
          </w:tcPr>
          <w:p w14:paraId="6D6EE8D3" w14:textId="56BBED0D" w:rsidR="0074147E" w:rsidRPr="0074147E" w:rsidRDefault="0074147E" w:rsidP="0074147E">
            <w:pPr>
              <w:rPr>
                <w:b/>
                <w:bCs/>
              </w:rPr>
            </w:pPr>
            <w:r w:rsidRPr="0074147E">
              <w:rPr>
                <w:b/>
                <w:bCs/>
              </w:rPr>
              <w:t xml:space="preserve">Відповідність </w:t>
            </w:r>
          </w:p>
        </w:tc>
      </w:tr>
      <w:tr w:rsidR="0074147E" w:rsidRPr="0074147E" w14:paraId="6BD4A1FD" w14:textId="77777777" w:rsidTr="00B36950">
        <w:trPr>
          <w:trHeight w:val="1200"/>
        </w:trPr>
        <w:tc>
          <w:tcPr>
            <w:tcW w:w="1621" w:type="dxa"/>
            <w:hideMark/>
          </w:tcPr>
          <w:p w14:paraId="7BFA3658" w14:textId="77777777" w:rsidR="0074147E" w:rsidRPr="0074147E" w:rsidRDefault="0074147E" w:rsidP="0074147E">
            <w:r w:rsidRPr="0074147E">
              <w:t>61032 Кювета для лабораторного аналізатора ІВД, одноразового використання</w:t>
            </w:r>
          </w:p>
        </w:tc>
        <w:tc>
          <w:tcPr>
            <w:tcW w:w="520" w:type="dxa"/>
            <w:hideMark/>
          </w:tcPr>
          <w:p w14:paraId="4903C734" w14:textId="77777777" w:rsidR="0074147E" w:rsidRPr="0074147E" w:rsidRDefault="0074147E" w:rsidP="0074147E">
            <w:r w:rsidRPr="0074147E">
              <w:t>1</w:t>
            </w:r>
          </w:p>
        </w:tc>
        <w:tc>
          <w:tcPr>
            <w:tcW w:w="1635" w:type="dxa"/>
            <w:hideMark/>
          </w:tcPr>
          <w:p w14:paraId="30FDEBD6" w14:textId="77777777" w:rsidR="0074147E" w:rsidRPr="0074147E" w:rsidRDefault="0074147E" w:rsidP="0074147E">
            <w:r w:rsidRPr="0074147E">
              <w:t xml:space="preserve">Кювети до CL1000i </w:t>
            </w:r>
          </w:p>
        </w:tc>
        <w:tc>
          <w:tcPr>
            <w:tcW w:w="2631" w:type="dxa"/>
            <w:hideMark/>
          </w:tcPr>
          <w:p w14:paraId="184D3155" w14:textId="12F497D5" w:rsidR="0074147E" w:rsidRPr="0074147E" w:rsidRDefault="0074147E" w:rsidP="0074147E">
            <w:r w:rsidRPr="0074147E">
              <w:t xml:space="preserve">Витратні матеріали до </w:t>
            </w:r>
            <w:proofErr w:type="spellStart"/>
            <w:r w:rsidRPr="0074147E">
              <w:t>імунохемілюмінісцентних</w:t>
            </w:r>
            <w:proofErr w:type="spellEnd"/>
            <w:r w:rsidRPr="0074147E">
              <w:t xml:space="preserve"> аналізаторів виробництва;  кювета повинна бути сумісна з аналізатором моделі       CL-900i, 1000i, 1200i, 2000i, 6000i; </w:t>
            </w:r>
            <w:r w:rsidR="00B36950">
              <w:t xml:space="preserve">Кювета є резервним контейнером для реакції між </w:t>
            </w:r>
            <w:proofErr w:type="spellStart"/>
            <w:r w:rsidR="00B36950">
              <w:t>аналітом</w:t>
            </w:r>
            <w:proofErr w:type="spellEnd"/>
            <w:r w:rsidR="00B36950">
              <w:t xml:space="preserve"> у зразку та реагентом. Матеріал кювет – пластик. Кожен контейнер включає 88 кювет. В наборі 42 контейнери. (3696 кювет)</w:t>
            </w:r>
          </w:p>
        </w:tc>
        <w:tc>
          <w:tcPr>
            <w:tcW w:w="660" w:type="dxa"/>
            <w:hideMark/>
          </w:tcPr>
          <w:p w14:paraId="646A5362" w14:textId="77777777" w:rsidR="0074147E" w:rsidRPr="0074147E" w:rsidRDefault="0074147E" w:rsidP="0074147E">
            <w:proofErr w:type="spellStart"/>
            <w:r w:rsidRPr="0074147E">
              <w:t>наб</w:t>
            </w:r>
            <w:proofErr w:type="spellEnd"/>
          </w:p>
        </w:tc>
        <w:tc>
          <w:tcPr>
            <w:tcW w:w="441" w:type="dxa"/>
            <w:hideMark/>
          </w:tcPr>
          <w:p w14:paraId="5E0DB7B5" w14:textId="77777777" w:rsidR="0074147E" w:rsidRPr="0074147E" w:rsidRDefault="0074147E" w:rsidP="0074147E">
            <w:r w:rsidRPr="0074147E">
              <w:t>1</w:t>
            </w:r>
            <w:bookmarkStart w:id="0" w:name="_GoBack"/>
            <w:bookmarkEnd w:id="0"/>
          </w:p>
        </w:tc>
        <w:tc>
          <w:tcPr>
            <w:tcW w:w="2121" w:type="dxa"/>
            <w:hideMark/>
          </w:tcPr>
          <w:p w14:paraId="4F4D842D" w14:textId="77777777" w:rsidR="0074147E" w:rsidRPr="0074147E" w:rsidRDefault="0074147E" w:rsidP="0074147E">
            <w:pPr>
              <w:rPr>
                <w:b/>
                <w:bCs/>
              </w:rPr>
            </w:pPr>
            <w:r w:rsidRPr="0074147E">
              <w:rPr>
                <w:b/>
                <w:bCs/>
              </w:rPr>
              <w:t> </w:t>
            </w:r>
          </w:p>
        </w:tc>
      </w:tr>
      <w:tr w:rsidR="0074147E" w:rsidRPr="0074147E" w14:paraId="0C1D6D1D" w14:textId="77777777" w:rsidTr="0074147E">
        <w:trPr>
          <w:trHeight w:val="5805"/>
        </w:trPr>
        <w:tc>
          <w:tcPr>
            <w:tcW w:w="9629" w:type="dxa"/>
            <w:gridSpan w:val="7"/>
            <w:hideMark/>
          </w:tcPr>
          <w:p w14:paraId="701C6361" w14:textId="77777777" w:rsidR="0074147E" w:rsidRPr="0074147E" w:rsidRDefault="0074147E" w:rsidP="0074147E">
            <w:r w:rsidRPr="0074147E">
              <w:rPr>
                <w:b/>
                <w:bCs/>
              </w:rPr>
              <w:t>Загальні вимоги:</w:t>
            </w:r>
            <w:r w:rsidRPr="0074147E">
              <w:t xml:space="preserve"> </w:t>
            </w:r>
            <w:r w:rsidRPr="0074147E">
              <w:b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r w:rsidRPr="0074147E">
              <w:br/>
            </w:r>
            <w:r w:rsidRPr="0074147E">
              <w:rPr>
                <w:b/>
                <w:bCs/>
              </w:rPr>
              <w:t>1</w:t>
            </w:r>
            <w:r w:rsidRPr="0074147E">
              <w:t xml:space="preserve">.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74147E">
              <w:b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74147E">
              <w:br/>
            </w:r>
            <w:r w:rsidRPr="0074147E">
              <w:rPr>
                <w:b/>
                <w:bCs/>
              </w:rPr>
              <w:t>2</w:t>
            </w:r>
            <w:r w:rsidRPr="0074147E">
              <w:t>. Залишковий термін придатності товару на момент постачання  повинен складати не менше ніж 80% загального терміну їх зберігання (надати гарантійний лист від імені Учасника).</w:t>
            </w:r>
            <w:r w:rsidRPr="0074147E">
              <w:br/>
              <w:t>На підтвердження Учасник у складі пропозиції повинен надати гарантійний лист.</w:t>
            </w:r>
            <w:r w:rsidRPr="0074147E">
              <w:br/>
            </w:r>
            <w:r w:rsidRPr="0074147E">
              <w:rPr>
                <w:b/>
                <w:bCs/>
              </w:rPr>
              <w:t>3</w:t>
            </w:r>
            <w:r w:rsidRPr="0074147E">
              <w:t>.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r w:rsidRPr="0074147E">
              <w:br/>
            </w:r>
            <w:r w:rsidRPr="0074147E">
              <w:rPr>
                <w:b/>
                <w:bCs/>
              </w:rPr>
              <w:t>4</w:t>
            </w:r>
            <w:r w:rsidRPr="0074147E">
              <w:t xml:space="preserve">.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r w:rsidRPr="0074147E">
              <w:br/>
              <w:t>На підтвердження Учасник у складі пропозиції повинен надати гарантійний лист.</w:t>
            </w:r>
          </w:p>
        </w:tc>
      </w:tr>
    </w:tbl>
    <w:p w14:paraId="530FBE43" w14:textId="15ED8D62" w:rsidR="00667321" w:rsidRDefault="00667321"/>
    <w:p w14:paraId="5156338E" w14:textId="3035F609" w:rsidR="0074147E" w:rsidRPr="0074147E" w:rsidRDefault="0074147E" w:rsidP="0074147E"/>
    <w:sectPr w:rsidR="0074147E" w:rsidRPr="0074147E">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48312" w14:textId="77777777" w:rsidR="00B36950" w:rsidRDefault="00B36950" w:rsidP="00B36950">
      <w:pPr>
        <w:spacing w:after="0" w:line="240" w:lineRule="auto"/>
      </w:pPr>
      <w:r>
        <w:separator/>
      </w:r>
    </w:p>
  </w:endnote>
  <w:endnote w:type="continuationSeparator" w:id="0">
    <w:p w14:paraId="2FE3A772" w14:textId="77777777" w:rsidR="00B36950" w:rsidRDefault="00B36950" w:rsidP="00B3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AC85E" w14:textId="77777777" w:rsidR="00B36950" w:rsidRDefault="00B36950" w:rsidP="00B36950">
      <w:pPr>
        <w:spacing w:after="0" w:line="240" w:lineRule="auto"/>
      </w:pPr>
      <w:r>
        <w:separator/>
      </w:r>
    </w:p>
  </w:footnote>
  <w:footnote w:type="continuationSeparator" w:id="0">
    <w:p w14:paraId="2462B831" w14:textId="77777777" w:rsidR="00B36950" w:rsidRDefault="00B36950" w:rsidP="00B36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B841" w14:textId="61CECC05" w:rsidR="00B36950" w:rsidRDefault="00B36950" w:rsidP="00B36950">
    <w:pPr>
      <w:pStyle w:val="a4"/>
      <w:tabs>
        <w:tab w:val="clear" w:pos="4819"/>
        <w:tab w:val="clear" w:pos="9639"/>
        <w:tab w:val="left" w:pos="3210"/>
      </w:tabs>
    </w:pPr>
    <w:r>
      <w:tab/>
      <w:t xml:space="preserve">                                                                                               </w:t>
    </w:r>
    <w:r>
      <w:t xml:space="preserve">Додаток 2 </w:t>
    </w:r>
  </w:p>
  <w:p w14:paraId="1741F4D5" w14:textId="585A5237" w:rsidR="00B36950" w:rsidRDefault="00B36950">
    <w:pPr>
      <w:pStyle w:val="a4"/>
    </w:pPr>
  </w:p>
  <w:p w14:paraId="1C10E2B9" w14:textId="77777777" w:rsidR="00B36950" w:rsidRDefault="00B3695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7B"/>
    <w:rsid w:val="0002717B"/>
    <w:rsid w:val="00667321"/>
    <w:rsid w:val="0074147E"/>
    <w:rsid w:val="00B36950"/>
    <w:rsid w:val="00FC70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458C"/>
  <w15:chartTrackingRefBased/>
  <w15:docId w15:val="{D3E42E16-24FA-4C98-ADAC-D52ECCDA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695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36950"/>
  </w:style>
  <w:style w:type="paragraph" w:styleId="a6">
    <w:name w:val="footer"/>
    <w:basedOn w:val="a"/>
    <w:link w:val="a7"/>
    <w:uiPriority w:val="99"/>
    <w:unhideWhenUsed/>
    <w:rsid w:val="00B3695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3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2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1963</Words>
  <Characters>1120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бажецька</dc:creator>
  <cp:keywords/>
  <dc:description/>
  <cp:lastModifiedBy>Настя бажецька</cp:lastModifiedBy>
  <cp:revision>3</cp:revision>
  <cp:lastPrinted>2022-11-22T09:42:00Z</cp:lastPrinted>
  <dcterms:created xsi:type="dcterms:W3CDTF">2022-11-22T09:38:00Z</dcterms:created>
  <dcterms:modified xsi:type="dcterms:W3CDTF">2022-11-23T08:59:00Z</dcterms:modified>
</cp:coreProperties>
</file>