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154B43" w:rsidP="00AB1EA4">
      <w:pPr>
        <w:ind w:left="7080"/>
        <w:jc w:val="both"/>
        <w:rPr>
          <w:b/>
          <w:bCs/>
          <w:i/>
          <w:lang w:val="uk-UA"/>
        </w:rPr>
      </w:pPr>
      <w:r>
        <w:rPr>
          <w:b/>
          <w:bCs/>
          <w:i/>
          <w:lang w:val="uk-UA"/>
        </w:rPr>
        <w:t xml:space="preserve">            </w:t>
      </w:r>
      <w:r w:rsidR="00B06732">
        <w:rPr>
          <w:b/>
          <w:bCs/>
          <w:i/>
          <w:lang w:val="uk-UA"/>
        </w:rPr>
        <w:t xml:space="preserve">ДОДАТОК </w:t>
      </w:r>
      <w:r w:rsidR="0020318D">
        <w:rPr>
          <w:b/>
          <w:bCs/>
          <w:i/>
          <w:lang w:val="uk-UA"/>
        </w:rPr>
        <w:t>№4</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D64BDF">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FF4FFD">
        <w:rPr>
          <w:b/>
          <w:lang w:val="uk-UA"/>
        </w:rPr>
        <w:t>Соки (фруктові та овочеві)</w:t>
      </w:r>
      <w:r w:rsidR="00146CE1">
        <w:rPr>
          <w:b/>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5F5553" w:rsidRDefault="00904888" w:rsidP="005F5553">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vts82"/>
          <w:i/>
        </w:rPr>
      </w:pPr>
      <w:r w:rsidRPr="00F87E24">
        <w:t>1.3 Назва пред</w:t>
      </w:r>
      <w:r>
        <w:t xml:space="preserve">мету договору: </w:t>
      </w:r>
      <w:r w:rsidRPr="00532798">
        <w:rPr>
          <w:bCs/>
        </w:rPr>
        <w:t xml:space="preserve">код </w:t>
      </w:r>
      <w:bookmarkStart w:id="4" w:name="bookmark8"/>
      <w:r w:rsidR="00154B43">
        <w:rPr>
          <w:b/>
        </w:rPr>
        <w:t xml:space="preserve"> </w:t>
      </w:r>
      <w:r w:rsidR="00C271EB" w:rsidRPr="000E3FA6">
        <w:rPr>
          <w:b/>
          <w:bCs/>
          <w:i/>
          <w:iCs/>
        </w:rPr>
        <w:t>ДК 021:2015 “Єдиний закупівельний словник"</w:t>
      </w:r>
      <w:r w:rsidR="00C271EB" w:rsidRPr="000E3FA6">
        <w:rPr>
          <w:b/>
          <w:bCs/>
          <w:i/>
          <w:iCs/>
          <w:noProof/>
        </w:rPr>
        <w:t xml:space="preserve"> –</w:t>
      </w:r>
      <w:r w:rsidR="00FF4FFD">
        <w:rPr>
          <w:rFonts w:ascii="Arial" w:hAnsi="Arial" w:cs="Arial"/>
          <w:b/>
          <w:bCs/>
          <w:color w:val="333333"/>
          <w:sz w:val="20"/>
          <w:szCs w:val="20"/>
          <w:bdr w:val="none" w:sz="0" w:space="0" w:color="auto" w:frame="1"/>
          <w:shd w:val="clear" w:color="auto" w:fill="FFFFFF"/>
        </w:rPr>
        <w:t>1532</w:t>
      </w:r>
      <w:r w:rsidR="005F5553">
        <w:rPr>
          <w:rFonts w:ascii="Arial" w:hAnsi="Arial" w:cs="Arial"/>
          <w:b/>
          <w:bCs/>
          <w:color w:val="333333"/>
          <w:sz w:val="20"/>
          <w:szCs w:val="20"/>
          <w:bdr w:val="none" w:sz="0" w:space="0" w:color="auto" w:frame="1"/>
          <w:shd w:val="clear" w:color="auto" w:fill="FFFFFF"/>
        </w:rPr>
        <w:t>0000-</w:t>
      </w:r>
      <w:r w:rsidR="00FF4FFD">
        <w:rPr>
          <w:rFonts w:ascii="Arial" w:hAnsi="Arial" w:cs="Arial"/>
          <w:b/>
          <w:bCs/>
          <w:color w:val="333333"/>
          <w:sz w:val="20"/>
          <w:szCs w:val="20"/>
          <w:bdr w:val="none" w:sz="0" w:space="0" w:color="auto" w:frame="1"/>
          <w:shd w:val="clear" w:color="auto" w:fill="FFFFFF"/>
        </w:rPr>
        <w:t>7</w:t>
      </w:r>
      <w:r w:rsidR="005F5553">
        <w:rPr>
          <w:rFonts w:ascii="Arial" w:hAnsi="Arial" w:cs="Arial"/>
          <w:color w:val="333333"/>
          <w:sz w:val="20"/>
          <w:szCs w:val="20"/>
          <w:shd w:val="clear" w:color="auto" w:fill="FFFFFF"/>
        </w:rPr>
        <w:t xml:space="preserve">– </w:t>
      </w:r>
      <w:r w:rsidR="00FF4FFD">
        <w:rPr>
          <w:rFonts w:ascii="Arial" w:hAnsi="Arial" w:cs="Arial"/>
          <w:color w:val="333333"/>
          <w:sz w:val="20"/>
          <w:szCs w:val="20"/>
          <w:shd w:val="clear" w:color="auto" w:fill="FFFFFF"/>
        </w:rPr>
        <w:t>Фруктові та овочеві соки</w:t>
      </w:r>
      <w:r w:rsidR="005F5553">
        <w:rPr>
          <w:rFonts w:ascii="Arial" w:hAnsi="Arial" w:cs="Arial"/>
          <w:color w:val="333333"/>
          <w:sz w:val="20"/>
          <w:szCs w:val="20"/>
          <w:shd w:val="clear" w:color="auto" w:fill="FFFFFF"/>
        </w:rPr>
        <w:t>.</w:t>
      </w:r>
    </w:p>
    <w:p w:rsidR="00E162CD" w:rsidRPr="00154B43" w:rsidRDefault="00DC6540" w:rsidP="00C271EB">
      <w:pPr>
        <w:jc w:val="both"/>
        <w:rPr>
          <w:b/>
          <w:i/>
        </w:rPr>
      </w:pPr>
      <w:r>
        <w:rPr>
          <w:bCs/>
        </w:rPr>
        <w:t>Джерело фінансування – міс</w:t>
      </w:r>
      <w:r w:rsidR="00146CE1">
        <w:rPr>
          <w:bCs/>
        </w:rPr>
        <w:t>цевий</w:t>
      </w:r>
      <w:r>
        <w:rPr>
          <w:bCs/>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F511AB">
        <w:rPr>
          <w:bCs/>
          <w:color w:val="auto"/>
          <w:lang w:val="uk-UA"/>
        </w:rPr>
        <w:t xml:space="preserve"> 01 жовт</w:t>
      </w:r>
      <w:r w:rsidR="00B7000D">
        <w:rPr>
          <w:bCs/>
          <w:color w:val="auto"/>
          <w:lang w:val="uk-UA"/>
        </w:rPr>
        <w:t xml:space="preserve">ня </w:t>
      </w:r>
      <w:r w:rsidR="00D64BDF">
        <w:rPr>
          <w:bCs/>
          <w:color w:val="auto"/>
          <w:lang w:val="uk-UA"/>
        </w:rPr>
        <w:t>2022</w:t>
      </w:r>
      <w:r w:rsidR="00904888">
        <w:rPr>
          <w:bCs/>
          <w:color w:val="auto"/>
          <w:lang w:val="uk-UA"/>
        </w:rPr>
        <w:t xml:space="preserve"> року</w:t>
      </w:r>
      <w:r w:rsidR="00B06732">
        <w:rPr>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D64BDF">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70034F">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 в. о. директора  ______________О.І.Лаврук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D64BDF" w:rsidP="00B06732">
      <w:pPr>
        <w:pStyle w:val="af6"/>
        <w:jc w:val="right"/>
        <w:rPr>
          <w:rFonts w:ascii="Times New Roman" w:hAnsi="Times New Roman"/>
          <w:b/>
          <w:i/>
        </w:rPr>
      </w:pPr>
      <w:r>
        <w:rPr>
          <w:rFonts w:ascii="Times New Roman" w:hAnsi="Times New Roman"/>
          <w:b/>
          <w:i/>
        </w:rPr>
        <w:t>від «____» _______________ 2022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154B43" w:rsidRDefault="009F75CC" w:rsidP="00E162CD">
            <w:pPr>
              <w:suppressAutoHyphens w:val="0"/>
              <w:jc w:val="center"/>
              <w:rPr>
                <w:color w:val="auto"/>
                <w:sz w:val="22"/>
                <w:szCs w:val="22"/>
                <w:lang w:val="uk-UA" w:eastAsia="ru-RU"/>
              </w:rPr>
            </w:pPr>
            <w:r w:rsidRPr="009F75CC">
              <w:rPr>
                <w:color w:val="auto"/>
                <w:sz w:val="22"/>
                <w:szCs w:val="22"/>
                <w:lang w:eastAsia="ru-RU"/>
              </w:rPr>
              <w:t>1</w:t>
            </w:r>
            <w:r w:rsidR="00154B43">
              <w:rPr>
                <w:color w:val="auto"/>
                <w:sz w:val="22"/>
                <w:szCs w:val="22"/>
                <w:lang w:val="uk-UA" w:eastAsia="ru-RU"/>
              </w:rPr>
              <w:t>…</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C25054">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 в. о. директора  ______________О.І.Лаврук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AF" w:rsidRDefault="00AA50AF">
      <w:r>
        <w:separator/>
      </w:r>
    </w:p>
  </w:endnote>
  <w:endnote w:type="continuationSeparator" w:id="1">
    <w:p w:rsidR="00AA50AF" w:rsidRDefault="00AA5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AF" w:rsidRDefault="00AA50AF">
      <w:r>
        <w:separator/>
      </w:r>
    </w:p>
  </w:footnote>
  <w:footnote w:type="continuationSeparator" w:id="1">
    <w:p w:rsidR="00AA50AF" w:rsidRDefault="00AA5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077C"/>
    <w:rsid w:val="0002707C"/>
    <w:rsid w:val="00063A11"/>
    <w:rsid w:val="00080B77"/>
    <w:rsid w:val="00080E1B"/>
    <w:rsid w:val="000A0B30"/>
    <w:rsid w:val="000A586F"/>
    <w:rsid w:val="000A7E8A"/>
    <w:rsid w:val="000B0E59"/>
    <w:rsid w:val="000C3947"/>
    <w:rsid w:val="000D02F7"/>
    <w:rsid w:val="000F69C9"/>
    <w:rsid w:val="00142457"/>
    <w:rsid w:val="00146CE1"/>
    <w:rsid w:val="00154B43"/>
    <w:rsid w:val="00157D56"/>
    <w:rsid w:val="00191864"/>
    <w:rsid w:val="001A2222"/>
    <w:rsid w:val="001C22FC"/>
    <w:rsid w:val="001D35D2"/>
    <w:rsid w:val="00202B68"/>
    <w:rsid w:val="0020318D"/>
    <w:rsid w:val="00204121"/>
    <w:rsid w:val="00297918"/>
    <w:rsid w:val="002A758A"/>
    <w:rsid w:val="002B2910"/>
    <w:rsid w:val="002C7931"/>
    <w:rsid w:val="00313006"/>
    <w:rsid w:val="003356AA"/>
    <w:rsid w:val="00355789"/>
    <w:rsid w:val="003618D3"/>
    <w:rsid w:val="00363775"/>
    <w:rsid w:val="00384565"/>
    <w:rsid w:val="003920A8"/>
    <w:rsid w:val="003F3DC3"/>
    <w:rsid w:val="004061EB"/>
    <w:rsid w:val="0041389D"/>
    <w:rsid w:val="00423DCD"/>
    <w:rsid w:val="00454B41"/>
    <w:rsid w:val="00456C8A"/>
    <w:rsid w:val="00481F0E"/>
    <w:rsid w:val="00482C9D"/>
    <w:rsid w:val="00490237"/>
    <w:rsid w:val="0049578B"/>
    <w:rsid w:val="00495CBB"/>
    <w:rsid w:val="004F3245"/>
    <w:rsid w:val="004F5737"/>
    <w:rsid w:val="00522550"/>
    <w:rsid w:val="00531049"/>
    <w:rsid w:val="00554D54"/>
    <w:rsid w:val="00556EBB"/>
    <w:rsid w:val="0058189C"/>
    <w:rsid w:val="00591FD4"/>
    <w:rsid w:val="005D1E83"/>
    <w:rsid w:val="005D2150"/>
    <w:rsid w:val="005D61B4"/>
    <w:rsid w:val="005E0B6A"/>
    <w:rsid w:val="005F5553"/>
    <w:rsid w:val="0060610A"/>
    <w:rsid w:val="006213FA"/>
    <w:rsid w:val="00642D3F"/>
    <w:rsid w:val="00674EF4"/>
    <w:rsid w:val="006A23A9"/>
    <w:rsid w:val="006A41C6"/>
    <w:rsid w:val="006A6359"/>
    <w:rsid w:val="006B44FF"/>
    <w:rsid w:val="006E2661"/>
    <w:rsid w:val="006E56DD"/>
    <w:rsid w:val="00722CC9"/>
    <w:rsid w:val="00731C83"/>
    <w:rsid w:val="00732AFE"/>
    <w:rsid w:val="0075439F"/>
    <w:rsid w:val="00757693"/>
    <w:rsid w:val="00781A0F"/>
    <w:rsid w:val="0079051C"/>
    <w:rsid w:val="007C4BB9"/>
    <w:rsid w:val="008122BD"/>
    <w:rsid w:val="00813307"/>
    <w:rsid w:val="00843213"/>
    <w:rsid w:val="00883892"/>
    <w:rsid w:val="008A102B"/>
    <w:rsid w:val="008D7201"/>
    <w:rsid w:val="008F22DE"/>
    <w:rsid w:val="008F6B5A"/>
    <w:rsid w:val="00904888"/>
    <w:rsid w:val="00927CCA"/>
    <w:rsid w:val="009421B8"/>
    <w:rsid w:val="0097282C"/>
    <w:rsid w:val="0099197B"/>
    <w:rsid w:val="009F75CC"/>
    <w:rsid w:val="00A41C27"/>
    <w:rsid w:val="00A52273"/>
    <w:rsid w:val="00A52ED9"/>
    <w:rsid w:val="00A644FD"/>
    <w:rsid w:val="00A73E4C"/>
    <w:rsid w:val="00A91CB6"/>
    <w:rsid w:val="00AA50AF"/>
    <w:rsid w:val="00AB1A19"/>
    <w:rsid w:val="00AB1EA4"/>
    <w:rsid w:val="00B06732"/>
    <w:rsid w:val="00B27475"/>
    <w:rsid w:val="00B7000D"/>
    <w:rsid w:val="00BC4673"/>
    <w:rsid w:val="00BC4B59"/>
    <w:rsid w:val="00C271EB"/>
    <w:rsid w:val="00C3591F"/>
    <w:rsid w:val="00C5339C"/>
    <w:rsid w:val="00C569B3"/>
    <w:rsid w:val="00C65352"/>
    <w:rsid w:val="00CB52CF"/>
    <w:rsid w:val="00CD14C4"/>
    <w:rsid w:val="00D10BD5"/>
    <w:rsid w:val="00D43348"/>
    <w:rsid w:val="00D54B6A"/>
    <w:rsid w:val="00D64BDF"/>
    <w:rsid w:val="00D7194B"/>
    <w:rsid w:val="00DC6540"/>
    <w:rsid w:val="00DD7B36"/>
    <w:rsid w:val="00DF2CC2"/>
    <w:rsid w:val="00E075C1"/>
    <w:rsid w:val="00E162CD"/>
    <w:rsid w:val="00E176CD"/>
    <w:rsid w:val="00E4395A"/>
    <w:rsid w:val="00E66152"/>
    <w:rsid w:val="00E77C80"/>
    <w:rsid w:val="00E857A0"/>
    <w:rsid w:val="00EC5873"/>
    <w:rsid w:val="00ED3A65"/>
    <w:rsid w:val="00ED63F7"/>
    <w:rsid w:val="00F15D6F"/>
    <w:rsid w:val="00F25DBC"/>
    <w:rsid w:val="00F44E0C"/>
    <w:rsid w:val="00F47FDB"/>
    <w:rsid w:val="00F511AB"/>
    <w:rsid w:val="00F5378B"/>
    <w:rsid w:val="00F600E0"/>
    <w:rsid w:val="00F653BF"/>
    <w:rsid w:val="00F67509"/>
    <w:rsid w:val="00F93B96"/>
    <w:rsid w:val="00FA1B7A"/>
    <w:rsid w:val="00FA4640"/>
    <w:rsid w:val="00FB4818"/>
    <w:rsid w:val="00FC5DA2"/>
    <w:rsid w:val="00FE1BDE"/>
    <w:rsid w:val="00FF4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99"/>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rvts82">
    <w:name w:val="rvts82"/>
    <w:basedOn w:val="a0"/>
    <w:rsid w:val="0015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184053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24</cp:revision>
  <cp:lastPrinted>2018-05-03T12:53:00Z</cp:lastPrinted>
  <dcterms:created xsi:type="dcterms:W3CDTF">2020-05-14T12:04:00Z</dcterms:created>
  <dcterms:modified xsi:type="dcterms:W3CDTF">2022-07-11T09:57:00Z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