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2365D033" w14:textId="77777777" w:rsidR="007C2024" w:rsidRDefault="007C2024" w:rsidP="007C2024">
      <w:pPr>
        <w:spacing w:line="240" w:lineRule="auto"/>
        <w:jc w:val="center"/>
        <w:rPr>
          <w:rFonts w:ascii="Times New Roman" w:hAnsi="Times New Roman" w:cs="Times New Roman"/>
          <w:b/>
          <w:color w:val="auto"/>
          <w:sz w:val="48"/>
          <w:szCs w:val="48"/>
        </w:rPr>
      </w:pPr>
      <w:r w:rsidRPr="004876B0">
        <w:rPr>
          <w:rFonts w:ascii="Times New Roman" w:hAnsi="Times New Roman" w:cs="Times New Roman"/>
          <w:b/>
          <w:color w:val="auto"/>
          <w:sz w:val="48"/>
          <w:szCs w:val="48"/>
        </w:rPr>
        <w:t xml:space="preserve">Комунальне підприємство </w:t>
      </w:r>
    </w:p>
    <w:p w14:paraId="13F10108" w14:textId="77777777" w:rsidR="007C2024" w:rsidRPr="00DE0837" w:rsidRDefault="007C2024" w:rsidP="007C2024">
      <w:pPr>
        <w:spacing w:line="240" w:lineRule="auto"/>
        <w:jc w:val="center"/>
        <w:rPr>
          <w:rFonts w:ascii="Times New Roman" w:hAnsi="Times New Roman"/>
          <w:b/>
          <w:color w:val="auto"/>
          <w:sz w:val="36"/>
          <w:szCs w:val="36"/>
          <w:lang w:eastAsia="uk-UA"/>
        </w:rPr>
      </w:pPr>
      <w:r w:rsidRPr="004876B0">
        <w:rPr>
          <w:rFonts w:ascii="Times New Roman" w:hAnsi="Times New Roman" w:cs="Times New Roman"/>
          <w:b/>
          <w:color w:val="auto"/>
          <w:sz w:val="48"/>
          <w:szCs w:val="48"/>
        </w:rPr>
        <w:t>«Парки Херсона» Херсонської міської ради</w:t>
      </w:r>
    </w:p>
    <w:p w14:paraId="1FC154D8" w14:textId="77777777" w:rsidR="007C2024" w:rsidRPr="00DE0837" w:rsidRDefault="007C2024" w:rsidP="007C2024">
      <w:pPr>
        <w:spacing w:line="240" w:lineRule="auto"/>
        <w:jc w:val="center"/>
        <w:rPr>
          <w:rFonts w:ascii="Times New Roman" w:hAnsi="Times New Roman"/>
          <w:b/>
          <w:color w:val="auto"/>
          <w:sz w:val="36"/>
          <w:szCs w:val="36"/>
          <w:lang w:eastAsia="uk-UA"/>
        </w:rPr>
      </w:pPr>
    </w:p>
    <w:p w14:paraId="56E09A24" w14:textId="77777777" w:rsidR="007C2024" w:rsidRPr="00DE0837" w:rsidRDefault="007C2024" w:rsidP="007C2024">
      <w:pPr>
        <w:spacing w:line="240" w:lineRule="auto"/>
        <w:jc w:val="center"/>
        <w:rPr>
          <w:rFonts w:ascii="Times New Roman" w:hAnsi="Times New Roman"/>
          <w:b/>
          <w:color w:val="auto"/>
          <w:sz w:val="36"/>
          <w:szCs w:val="36"/>
          <w:lang w:eastAsia="uk-UA"/>
        </w:rPr>
      </w:pPr>
    </w:p>
    <w:p w14:paraId="01862F59" w14:textId="77777777" w:rsidR="007C2024" w:rsidRPr="00DE0837" w:rsidRDefault="007C2024" w:rsidP="007C2024">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7C2024" w:rsidRPr="00352C0A" w14:paraId="44723F6F" w14:textId="77777777" w:rsidTr="007C2024">
        <w:trPr>
          <w:jc w:val="right"/>
        </w:trPr>
        <w:tc>
          <w:tcPr>
            <w:tcW w:w="5387" w:type="dxa"/>
          </w:tcPr>
          <w:p w14:paraId="13D31BC3" w14:textId="77777777" w:rsidR="007C2024" w:rsidRPr="00352C0A" w:rsidRDefault="007C2024" w:rsidP="007C2024">
            <w:pPr>
              <w:snapToGrid w:val="0"/>
              <w:jc w:val="right"/>
              <w:rPr>
                <w:rFonts w:ascii="Times New Roman" w:hAnsi="Times New Roman" w:cs="Times New Roman"/>
                <w:b/>
                <w:bCs/>
                <w:color w:val="auto"/>
                <w:sz w:val="24"/>
                <w:szCs w:val="24"/>
                <w:lang w:eastAsia="ar-SA"/>
              </w:rPr>
            </w:pPr>
            <w:r w:rsidRPr="00352C0A">
              <w:rPr>
                <w:rFonts w:ascii="Times New Roman" w:hAnsi="Times New Roman" w:cs="Times New Roman"/>
                <w:b/>
                <w:bCs/>
                <w:color w:val="auto"/>
                <w:sz w:val="24"/>
                <w:szCs w:val="24"/>
                <w:lang w:eastAsia="ar-SA"/>
              </w:rPr>
              <w:t>«Затверджено»</w:t>
            </w:r>
          </w:p>
          <w:p w14:paraId="24DCC4AF" w14:textId="38A2C3D8" w:rsidR="007C2024" w:rsidRPr="00D14D54" w:rsidRDefault="007C2024" w:rsidP="007C2024">
            <w:pPr>
              <w:snapToGrid w:val="0"/>
              <w:jc w:val="right"/>
              <w:rPr>
                <w:rFonts w:ascii="Times New Roman" w:hAnsi="Times New Roman" w:cs="Times New Roman"/>
                <w:b/>
                <w:bCs/>
                <w:color w:val="auto"/>
                <w:sz w:val="24"/>
                <w:szCs w:val="24"/>
                <w:lang w:val="ru-RU" w:eastAsia="ar-SA"/>
              </w:rPr>
            </w:pPr>
            <w:r w:rsidRPr="00352C0A">
              <w:rPr>
                <w:rFonts w:ascii="Times New Roman" w:hAnsi="Times New Roman" w:cs="Times New Roman"/>
                <w:b/>
                <w:bCs/>
                <w:color w:val="auto"/>
                <w:sz w:val="24"/>
                <w:szCs w:val="24"/>
                <w:lang w:eastAsia="ar-SA"/>
              </w:rPr>
              <w:t xml:space="preserve">рішенням від </w:t>
            </w:r>
            <w:r w:rsidR="00227575">
              <w:rPr>
                <w:rFonts w:ascii="Times New Roman" w:hAnsi="Times New Roman" w:cs="Times New Roman"/>
                <w:b/>
                <w:bCs/>
                <w:color w:val="auto"/>
                <w:sz w:val="24"/>
                <w:szCs w:val="24"/>
                <w:lang w:val="ru-RU" w:eastAsia="ar-SA"/>
              </w:rPr>
              <w:t>12.04.</w:t>
            </w:r>
            <w:r w:rsidRPr="00352C0A">
              <w:rPr>
                <w:rFonts w:ascii="Times New Roman" w:hAnsi="Times New Roman" w:cs="Times New Roman"/>
                <w:b/>
                <w:bCs/>
                <w:color w:val="auto"/>
                <w:sz w:val="24"/>
                <w:szCs w:val="24"/>
                <w:lang w:eastAsia="ar-SA"/>
              </w:rPr>
              <w:t xml:space="preserve"> 202</w:t>
            </w:r>
            <w:r w:rsidR="000C6CA0">
              <w:rPr>
                <w:rFonts w:ascii="Times New Roman" w:hAnsi="Times New Roman" w:cs="Times New Roman"/>
                <w:b/>
                <w:bCs/>
                <w:color w:val="auto"/>
                <w:sz w:val="24"/>
                <w:szCs w:val="24"/>
                <w:lang w:eastAsia="ar-SA"/>
              </w:rPr>
              <w:t>4</w:t>
            </w:r>
            <w:r w:rsidRPr="00352C0A">
              <w:rPr>
                <w:rFonts w:ascii="Times New Roman" w:hAnsi="Times New Roman" w:cs="Times New Roman"/>
                <w:b/>
                <w:bCs/>
                <w:color w:val="auto"/>
                <w:sz w:val="24"/>
                <w:szCs w:val="24"/>
                <w:lang w:eastAsia="ar-SA"/>
              </w:rPr>
              <w:t xml:space="preserve"> року № </w:t>
            </w:r>
            <w:r w:rsidR="003A1A0E">
              <w:rPr>
                <w:rFonts w:ascii="Times New Roman" w:hAnsi="Times New Roman" w:cs="Times New Roman"/>
                <w:b/>
                <w:bCs/>
                <w:color w:val="auto"/>
                <w:sz w:val="24"/>
                <w:szCs w:val="24"/>
                <w:lang w:eastAsia="ar-SA"/>
              </w:rPr>
              <w:t>10</w:t>
            </w:r>
          </w:p>
        </w:tc>
      </w:tr>
      <w:tr w:rsidR="007C2024" w:rsidRPr="00352C0A" w14:paraId="6C12D3B4" w14:textId="77777777" w:rsidTr="007C2024">
        <w:trPr>
          <w:jc w:val="right"/>
        </w:trPr>
        <w:tc>
          <w:tcPr>
            <w:tcW w:w="5387" w:type="dxa"/>
          </w:tcPr>
          <w:p w14:paraId="6DF85CF3" w14:textId="77777777" w:rsidR="007C2024" w:rsidRPr="00352C0A" w:rsidRDefault="007C2024" w:rsidP="007C2024">
            <w:pPr>
              <w:snapToGrid w:val="0"/>
              <w:jc w:val="right"/>
              <w:rPr>
                <w:rFonts w:ascii="Times New Roman" w:hAnsi="Times New Roman" w:cs="Times New Roman"/>
                <w:b/>
                <w:bCs/>
                <w:color w:val="auto"/>
                <w:sz w:val="24"/>
                <w:szCs w:val="24"/>
                <w:lang w:eastAsia="ar-SA"/>
              </w:rPr>
            </w:pPr>
            <w:r w:rsidRPr="00352C0A">
              <w:rPr>
                <w:rFonts w:ascii="Times New Roman" w:hAnsi="Times New Roman" w:cs="Times New Roman"/>
                <w:b/>
                <w:bCs/>
                <w:color w:val="auto"/>
                <w:sz w:val="24"/>
                <w:szCs w:val="24"/>
                <w:lang w:eastAsia="ar-SA"/>
              </w:rPr>
              <w:t xml:space="preserve">УПОВНОВАЖЕНА ОСОБА </w:t>
            </w:r>
          </w:p>
        </w:tc>
      </w:tr>
      <w:tr w:rsidR="007C2024" w:rsidRPr="00352C0A" w14:paraId="15953450" w14:textId="77777777" w:rsidTr="007C2024">
        <w:trPr>
          <w:jc w:val="right"/>
        </w:trPr>
        <w:tc>
          <w:tcPr>
            <w:tcW w:w="5387" w:type="dxa"/>
          </w:tcPr>
          <w:p w14:paraId="2950A34B" w14:textId="21A49D5A" w:rsidR="007C2024" w:rsidRPr="00352C0A" w:rsidRDefault="00227575" w:rsidP="007C2024">
            <w:pPr>
              <w:snapToGrid w:val="0"/>
              <w:jc w:val="right"/>
              <w:rPr>
                <w:rFonts w:ascii="Times New Roman" w:hAnsi="Times New Roman" w:cs="Times New Roman"/>
                <w:b/>
                <w:bCs/>
                <w:color w:val="auto"/>
                <w:sz w:val="24"/>
                <w:szCs w:val="24"/>
                <w:lang w:eastAsia="ar-SA"/>
              </w:rPr>
            </w:pPr>
            <w:r>
              <w:rPr>
                <w:rFonts w:ascii="Times New Roman" w:hAnsi="Times New Roman" w:cs="Times New Roman"/>
                <w:b/>
                <w:bCs/>
                <w:color w:val="auto"/>
                <w:sz w:val="24"/>
                <w:szCs w:val="24"/>
                <w:lang w:eastAsia="ar-SA"/>
              </w:rPr>
              <w:t>Тетяна ЧЕРНІКОВА</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69E351DA" w14:textId="77777777" w:rsidR="007C2024" w:rsidRPr="007C2024" w:rsidRDefault="007C2024" w:rsidP="007C2024">
      <w:pPr>
        <w:spacing w:line="240" w:lineRule="auto"/>
        <w:ind w:firstLine="539"/>
        <w:jc w:val="center"/>
        <w:rPr>
          <w:rFonts w:ascii="Times New Roman" w:hAnsi="Times New Roman" w:cs="Times New Roman"/>
          <w:b/>
          <w:sz w:val="50"/>
          <w:szCs w:val="50"/>
          <w:u w:val="single"/>
        </w:rPr>
      </w:pPr>
      <w:r w:rsidRPr="007C2024">
        <w:rPr>
          <w:rFonts w:ascii="Times New Roman" w:hAnsi="Times New Roman" w:cs="Times New Roman"/>
          <w:b/>
          <w:sz w:val="50"/>
          <w:szCs w:val="50"/>
          <w:u w:val="single"/>
        </w:rPr>
        <w:t>ДК   021:2015:  09130000-9 –</w:t>
      </w:r>
    </w:p>
    <w:p w14:paraId="50C7F721" w14:textId="77777777" w:rsidR="007C2024" w:rsidRPr="007C2024" w:rsidRDefault="007C2024" w:rsidP="007C2024">
      <w:pPr>
        <w:spacing w:line="240" w:lineRule="auto"/>
        <w:ind w:firstLine="539"/>
        <w:jc w:val="center"/>
        <w:rPr>
          <w:rFonts w:ascii="Times New Roman" w:hAnsi="Times New Roman" w:cs="Times New Roman"/>
          <w:b/>
          <w:sz w:val="50"/>
          <w:szCs w:val="50"/>
          <w:u w:val="single"/>
        </w:rPr>
      </w:pPr>
      <w:r w:rsidRPr="007C2024">
        <w:rPr>
          <w:rFonts w:ascii="Times New Roman" w:hAnsi="Times New Roman" w:cs="Times New Roman"/>
          <w:b/>
          <w:sz w:val="50"/>
          <w:szCs w:val="50"/>
          <w:u w:val="single"/>
        </w:rPr>
        <w:t>Нафта і дистиляти</w:t>
      </w:r>
    </w:p>
    <w:p w14:paraId="22608C26" w14:textId="01B5C77F" w:rsidR="007C2024" w:rsidRPr="00F27C1E" w:rsidRDefault="007C2024" w:rsidP="007C2024">
      <w:pPr>
        <w:spacing w:line="240" w:lineRule="auto"/>
        <w:ind w:firstLine="539"/>
        <w:jc w:val="center"/>
        <w:rPr>
          <w:rFonts w:ascii="Times New Roman" w:hAnsi="Times New Roman" w:cs="Times New Roman"/>
          <w:b/>
          <w:sz w:val="50"/>
          <w:szCs w:val="50"/>
          <w:u w:val="single"/>
        </w:rPr>
      </w:pPr>
      <w:r w:rsidRPr="007C2024">
        <w:rPr>
          <w:rFonts w:ascii="Times New Roman" w:hAnsi="Times New Roman" w:cs="Times New Roman"/>
          <w:b/>
          <w:sz w:val="50"/>
          <w:szCs w:val="50"/>
          <w:u w:val="single"/>
        </w:rPr>
        <w:t>(Дизельне паливо</w:t>
      </w:r>
      <w:r w:rsidR="00F27C1E">
        <w:rPr>
          <w:rFonts w:ascii="Times New Roman" w:hAnsi="Times New Roman" w:cs="Times New Roman"/>
          <w:b/>
          <w:sz w:val="50"/>
          <w:szCs w:val="50"/>
          <w:u w:val="single"/>
        </w:rPr>
        <w:t>, Бензин А95</w:t>
      </w:r>
    </w:p>
    <w:p w14:paraId="4E87114F" w14:textId="68536D39" w:rsidR="009877D4" w:rsidRDefault="007C2024" w:rsidP="007C2024">
      <w:pPr>
        <w:spacing w:line="240" w:lineRule="auto"/>
        <w:ind w:firstLine="539"/>
        <w:jc w:val="center"/>
        <w:rPr>
          <w:rFonts w:ascii="Times New Roman" w:hAnsi="Times New Roman" w:cs="Times New Roman"/>
          <w:b/>
          <w:sz w:val="50"/>
          <w:szCs w:val="50"/>
          <w:u w:val="single"/>
        </w:rPr>
      </w:pPr>
      <w:r w:rsidRPr="007C2024">
        <w:rPr>
          <w:rFonts w:ascii="Times New Roman" w:hAnsi="Times New Roman" w:cs="Times New Roman"/>
          <w:b/>
          <w:sz w:val="50"/>
          <w:szCs w:val="50"/>
          <w:u w:val="single"/>
        </w:rPr>
        <w:t xml:space="preserve"> – по бланках дозволів (талонах) через АЗС)</w:t>
      </w:r>
    </w:p>
    <w:p w14:paraId="2CEF6A64" w14:textId="77D13A91" w:rsidR="009877D4" w:rsidRDefault="009877D4" w:rsidP="009F7288">
      <w:pPr>
        <w:spacing w:line="240" w:lineRule="auto"/>
        <w:ind w:firstLine="539"/>
        <w:jc w:val="center"/>
        <w:rPr>
          <w:rFonts w:ascii="Times New Roman" w:hAnsi="Times New Roman" w:cs="Times New Roman"/>
          <w:b/>
          <w:sz w:val="50"/>
          <w:szCs w:val="50"/>
          <w:u w:val="single"/>
        </w:rPr>
      </w:pPr>
    </w:p>
    <w:p w14:paraId="3EA0C09F" w14:textId="77777777" w:rsidR="009877D4" w:rsidRPr="00B77D00" w:rsidRDefault="009877D4" w:rsidP="009F7288">
      <w:pPr>
        <w:spacing w:line="240" w:lineRule="auto"/>
        <w:ind w:firstLine="539"/>
        <w:jc w:val="center"/>
        <w:rPr>
          <w:rFonts w:ascii="Times New Roman" w:eastAsia="Calibri" w:hAnsi="Times New Roman" w:cs="Times New Roman"/>
          <w:b/>
          <w:sz w:val="50"/>
          <w:szCs w:val="50"/>
          <w:u w:val="single"/>
          <w:lang w:eastAsia="en-US"/>
        </w:rPr>
      </w:pPr>
    </w:p>
    <w:p w14:paraId="539A940B" w14:textId="77777777" w:rsidR="00290BCE" w:rsidRPr="00DE0837" w:rsidRDefault="00290BCE" w:rsidP="009F7288">
      <w:pPr>
        <w:spacing w:line="240" w:lineRule="auto"/>
        <w:ind w:firstLine="539"/>
        <w:jc w:val="center"/>
        <w:rPr>
          <w:rFonts w:ascii="Times New Roman" w:hAnsi="Times New Roman" w:cs="Times New Roman"/>
          <w:b/>
          <w:sz w:val="52"/>
          <w:szCs w:val="52"/>
          <w:u w:val="single"/>
        </w:rPr>
      </w:pPr>
    </w:p>
    <w:p w14:paraId="6C2E4136"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45889EF1" w14:textId="77777777" w:rsidR="00290BCE" w:rsidRDefault="00290BCE" w:rsidP="00B77D00">
      <w:pPr>
        <w:spacing w:line="240" w:lineRule="auto"/>
        <w:rPr>
          <w:rFonts w:ascii="Times New Roman" w:hAnsi="Times New Roman" w:cs="Times New Roman"/>
          <w:b/>
          <w:color w:val="auto"/>
          <w:sz w:val="40"/>
          <w:szCs w:val="40"/>
          <w:u w:val="single"/>
          <w:lang w:eastAsia="en-US"/>
        </w:rPr>
      </w:pPr>
    </w:p>
    <w:p w14:paraId="254653CD" w14:textId="77777777" w:rsidR="00B77D00" w:rsidRPr="00DE0837" w:rsidRDefault="00B77D00" w:rsidP="00B77D00">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4E95C5E1"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F92D16">
        <w:rPr>
          <w:rFonts w:ascii="Times New Roman" w:hAnsi="Times New Roman" w:cs="Times New Roman"/>
          <w:b/>
          <w:bCs/>
          <w:color w:val="auto"/>
          <w:sz w:val="24"/>
          <w:szCs w:val="24"/>
          <w:lang w:eastAsia="ar-SA"/>
        </w:rPr>
        <w:t>4</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7C2024" w:rsidRPr="00DE0837" w14:paraId="0070AA4A" w14:textId="77777777" w:rsidTr="006F0F80">
        <w:trPr>
          <w:trHeight w:val="1021"/>
          <w:jc w:val="center"/>
        </w:trPr>
        <w:tc>
          <w:tcPr>
            <w:tcW w:w="576" w:type="dxa"/>
          </w:tcPr>
          <w:p w14:paraId="4D1F1D7C" w14:textId="77777777" w:rsidR="007C2024" w:rsidRPr="00DE0837" w:rsidRDefault="007C2024" w:rsidP="007C2024">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7C2024" w:rsidRPr="00DE0837" w:rsidRDefault="007C2024" w:rsidP="007C2024">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09A9A965" w:rsidR="007C2024" w:rsidRPr="00DE0837" w:rsidRDefault="007C2024" w:rsidP="007C2024">
            <w:pPr>
              <w:spacing w:line="240" w:lineRule="auto"/>
              <w:jc w:val="both"/>
              <w:rPr>
                <w:rFonts w:ascii="Times New Roman" w:hAnsi="Times New Roman" w:cs="Times New Roman"/>
                <w:sz w:val="24"/>
                <w:szCs w:val="24"/>
              </w:rPr>
            </w:pPr>
            <w:r w:rsidRPr="004876B0">
              <w:rPr>
                <w:rFonts w:ascii="Times New Roman" w:hAnsi="Times New Roman" w:cs="Times New Roman"/>
                <w:sz w:val="24"/>
                <w:szCs w:val="24"/>
              </w:rPr>
              <w:t>Комунальне підприємство «Парки Херсона» Херсонської міської ради</w:t>
            </w:r>
          </w:p>
        </w:tc>
      </w:tr>
      <w:tr w:rsidR="007C2024" w:rsidRPr="00DE0837" w14:paraId="4E8798BC" w14:textId="77777777" w:rsidTr="006F0F80">
        <w:trPr>
          <w:trHeight w:val="520"/>
          <w:jc w:val="center"/>
        </w:trPr>
        <w:tc>
          <w:tcPr>
            <w:tcW w:w="576" w:type="dxa"/>
          </w:tcPr>
          <w:p w14:paraId="7D41890F" w14:textId="77777777" w:rsidR="007C2024" w:rsidRPr="00DE0837" w:rsidRDefault="007C2024" w:rsidP="007C2024">
            <w:pPr>
              <w:pStyle w:val="a7"/>
              <w:widowControl w:val="0"/>
              <w:spacing w:before="120" w:after="120"/>
              <w:rPr>
                <w:lang w:val="uk-UA"/>
              </w:rPr>
            </w:pPr>
            <w:r w:rsidRPr="00DE0837">
              <w:rPr>
                <w:lang w:val="uk-UA"/>
              </w:rPr>
              <w:t>2.2</w:t>
            </w:r>
          </w:p>
        </w:tc>
        <w:tc>
          <w:tcPr>
            <w:tcW w:w="3147" w:type="dxa"/>
          </w:tcPr>
          <w:p w14:paraId="5633FCC9" w14:textId="77777777" w:rsidR="007C2024" w:rsidRPr="00DE0837" w:rsidRDefault="007C2024" w:rsidP="007C2024">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4CD450BF" w14:textId="77777777" w:rsidR="007C2024" w:rsidRPr="00DE0837" w:rsidRDefault="007C2024" w:rsidP="007C2024">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7C2024" w:rsidRPr="00DE0837" w:rsidRDefault="007C2024" w:rsidP="007C2024">
            <w:pPr>
              <w:shd w:val="clear" w:color="auto" w:fill="FFFFFF"/>
              <w:spacing w:line="240" w:lineRule="auto"/>
              <w:textAlignment w:val="baseline"/>
              <w:rPr>
                <w:rFonts w:ascii="Times New Roman" w:hAnsi="Times New Roman" w:cs="Times New Roman"/>
                <w:sz w:val="24"/>
                <w:szCs w:val="24"/>
              </w:rPr>
            </w:pPr>
          </w:p>
        </w:tc>
      </w:tr>
      <w:tr w:rsidR="007C2024" w:rsidRPr="00DE0837" w14:paraId="507E132B" w14:textId="77777777" w:rsidTr="006F0F80">
        <w:trPr>
          <w:trHeight w:val="520"/>
          <w:jc w:val="center"/>
        </w:trPr>
        <w:tc>
          <w:tcPr>
            <w:tcW w:w="576" w:type="dxa"/>
          </w:tcPr>
          <w:p w14:paraId="42FB3598" w14:textId="77777777" w:rsidR="007C2024" w:rsidRPr="00DE0837" w:rsidRDefault="007C2024" w:rsidP="007C2024">
            <w:pPr>
              <w:pStyle w:val="a7"/>
              <w:widowControl w:val="0"/>
              <w:spacing w:before="120" w:after="120"/>
              <w:rPr>
                <w:lang w:val="uk-UA"/>
              </w:rPr>
            </w:pPr>
            <w:r w:rsidRPr="00DE0837">
              <w:rPr>
                <w:lang w:val="uk-UA"/>
              </w:rPr>
              <w:t>2.3</w:t>
            </w:r>
          </w:p>
        </w:tc>
        <w:tc>
          <w:tcPr>
            <w:tcW w:w="3147" w:type="dxa"/>
          </w:tcPr>
          <w:p w14:paraId="3A43E521" w14:textId="77777777" w:rsidR="007C2024" w:rsidRPr="00DE0837" w:rsidRDefault="007C2024" w:rsidP="007C2024">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6D0FF31" w:rsidR="007C2024" w:rsidRPr="007E0FB4" w:rsidRDefault="006D35CB" w:rsidP="007C2024">
            <w:pPr>
              <w:spacing w:after="160" w:line="256" w:lineRule="auto"/>
              <w:jc w:val="both"/>
              <w:rPr>
                <w:rFonts w:ascii="Times New Roman" w:hAnsi="Times New Roman" w:cs="Times New Roman"/>
                <w:sz w:val="24"/>
                <w:szCs w:val="24"/>
                <w:lang w:val="ru-RU"/>
              </w:rPr>
            </w:pPr>
            <w:r w:rsidRPr="006D35CB">
              <w:rPr>
                <w:rFonts w:ascii="Times New Roman" w:eastAsia="Calibri" w:hAnsi="Times New Roman" w:cs="Times New Roman"/>
                <w:color w:val="auto"/>
                <w:sz w:val="24"/>
                <w:szCs w:val="24"/>
                <w:lang w:eastAsia="en-US"/>
              </w:rPr>
              <w:t xml:space="preserve">Чернікова Тетяна Віталіївна </w:t>
            </w:r>
            <w:r w:rsidR="007C2024" w:rsidRPr="006D35CB">
              <w:rPr>
                <w:rFonts w:ascii="Times New Roman" w:eastAsia="Calibri" w:hAnsi="Times New Roman" w:cs="Times New Roman"/>
                <w:color w:val="auto"/>
                <w:sz w:val="24"/>
                <w:szCs w:val="24"/>
                <w:lang w:eastAsia="en-US"/>
              </w:rPr>
              <w:t xml:space="preserve">- уповноважена особа, проспект Ушакова, </w:t>
            </w:r>
            <w:smartTag w:uri="urn:schemas-microsoft-com:office:smarttags" w:element="metricconverter">
              <w:smartTagPr>
                <w:attr w:name="ProductID" w:val="37, м"/>
              </w:smartTagPr>
              <w:r w:rsidR="007C2024" w:rsidRPr="006D35CB">
                <w:rPr>
                  <w:rFonts w:ascii="Times New Roman" w:eastAsia="Calibri" w:hAnsi="Times New Roman" w:cs="Times New Roman"/>
                  <w:color w:val="auto"/>
                  <w:sz w:val="24"/>
                  <w:szCs w:val="24"/>
                  <w:lang w:eastAsia="en-US"/>
                </w:rPr>
                <w:t>37, м</w:t>
              </w:r>
            </w:smartTag>
            <w:r w:rsidR="007C2024" w:rsidRPr="006D35CB">
              <w:rPr>
                <w:rFonts w:ascii="Times New Roman" w:eastAsia="Calibri" w:hAnsi="Times New Roman" w:cs="Times New Roman"/>
                <w:color w:val="auto"/>
                <w:sz w:val="24"/>
                <w:szCs w:val="24"/>
                <w:lang w:eastAsia="en-US"/>
              </w:rPr>
              <w:t xml:space="preserve">. Херсон, 73000, телефон   </w:t>
            </w:r>
            <w:r w:rsidR="00FB52FD">
              <w:rPr>
                <w:rFonts w:ascii="Times New Roman" w:eastAsia="Calibri" w:hAnsi="Times New Roman" w:cs="Times New Roman"/>
                <w:color w:val="auto"/>
                <w:sz w:val="24"/>
                <w:szCs w:val="24"/>
                <w:lang w:eastAsia="en-US"/>
              </w:rPr>
              <w:t>380502168284</w:t>
            </w:r>
            <w:r w:rsidR="007C2024" w:rsidRPr="006D35CB">
              <w:rPr>
                <w:rFonts w:ascii="Times New Roman" w:eastAsia="Calibri" w:hAnsi="Times New Roman" w:cs="Times New Roman"/>
                <w:color w:val="auto"/>
                <w:sz w:val="24"/>
                <w:szCs w:val="24"/>
                <w:lang w:eastAsia="en-US"/>
              </w:rPr>
              <w:t xml:space="preserve"> , e-mail:</w:t>
            </w:r>
            <w:r w:rsidR="00E51F90" w:rsidRPr="006D35CB">
              <w:t xml:space="preserve"> </w:t>
            </w:r>
            <w:r w:rsidR="00E51F90" w:rsidRPr="006D35CB">
              <w:rPr>
                <w:rFonts w:ascii="Times New Roman" w:eastAsia="Calibri" w:hAnsi="Times New Roman" w:cs="Times New Roman"/>
                <w:color w:val="auto"/>
                <w:sz w:val="24"/>
                <w:szCs w:val="24"/>
                <w:lang w:eastAsia="en-US"/>
              </w:rPr>
              <w:t>parki40713306@gmail.com</w:t>
            </w:r>
            <w:r w:rsidR="007C2024" w:rsidRPr="006D35CB">
              <w:rPr>
                <w:rFonts w:ascii="Times New Roman" w:eastAsia="Calibri" w:hAnsi="Times New Roman" w:cs="Times New Roman"/>
                <w:color w:val="auto"/>
                <w:sz w:val="24"/>
                <w:szCs w:val="24"/>
                <w:lang w:eastAsia="en-US"/>
              </w:rPr>
              <w:t xml:space="preserve"> </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338A3A8D" w:rsidR="00EC5387" w:rsidRPr="00B77D00" w:rsidRDefault="007C2024" w:rsidP="007C2024">
            <w:pPr>
              <w:spacing w:line="240" w:lineRule="auto"/>
              <w:ind w:firstLine="539"/>
              <w:jc w:val="both"/>
              <w:rPr>
                <w:rFonts w:ascii="Times New Roman" w:hAnsi="Times New Roman" w:cs="Times New Roman"/>
                <w:color w:val="auto"/>
                <w:sz w:val="24"/>
                <w:szCs w:val="24"/>
              </w:rPr>
            </w:pPr>
            <w:r w:rsidRPr="006E124A">
              <w:rPr>
                <w:rFonts w:ascii="Times New Roman" w:hAnsi="Times New Roman"/>
                <w:sz w:val="24"/>
                <w:szCs w:val="24"/>
              </w:rPr>
              <w:t>ДК 021:2015: 09130000-9 – Нафта і дистиляти (Дизельне паливо</w:t>
            </w:r>
            <w:r w:rsidR="00F27C1E" w:rsidRPr="00F27C1E">
              <w:rPr>
                <w:rFonts w:ascii="Times New Roman" w:hAnsi="Times New Roman"/>
                <w:sz w:val="24"/>
                <w:szCs w:val="24"/>
              </w:rPr>
              <w:t>, Бензин А95</w:t>
            </w:r>
            <w:r w:rsidRPr="007C2024">
              <w:rPr>
                <w:rFonts w:ascii="Times New Roman" w:hAnsi="Times New Roman"/>
                <w:sz w:val="24"/>
                <w:szCs w:val="24"/>
                <w:lang w:val="ru-RU"/>
              </w:rPr>
              <w:t xml:space="preserve"> </w:t>
            </w:r>
            <w:r w:rsidRPr="006E124A">
              <w:rPr>
                <w:rFonts w:ascii="Times New Roman" w:hAnsi="Times New Roman"/>
                <w:sz w:val="24"/>
                <w:szCs w:val="24"/>
              </w:rPr>
              <w:t>– по бланках дозволів (талонах) через АЗС)</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13BA8A8A" w14:textId="58F530A1" w:rsidR="004358A2"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73000, Україна Херсонська область, м. Херсон, стаціонарна мережа автозапр</w:t>
            </w:r>
            <w:r w:rsidR="007C2024">
              <w:rPr>
                <w:rFonts w:ascii="Times New Roman" w:hAnsi="Times New Roman" w:cs="Times New Roman"/>
                <w:sz w:val="24"/>
                <w:szCs w:val="24"/>
              </w:rPr>
              <w:t>авних станцій (АЗС) у м. Херсон.</w:t>
            </w:r>
          </w:p>
          <w:p w14:paraId="771636F7" w14:textId="77777777" w:rsidR="009877D4" w:rsidRPr="003B61B4" w:rsidRDefault="009877D4"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7661979D" w14:textId="75EB4EDF" w:rsidR="00620FEB" w:rsidRDefault="00620FEB" w:rsidP="004C5054">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p>
          <w:p w14:paraId="3D2CF7C6" w14:textId="76D6CCD6" w:rsidR="007C2024" w:rsidRPr="009B28EA" w:rsidRDefault="007C2024" w:rsidP="007C2024">
            <w:pPr>
              <w:spacing w:line="240" w:lineRule="auto"/>
              <w:jc w:val="both"/>
              <w:rPr>
                <w:rFonts w:ascii="Times New Roman" w:hAnsi="Times New Roman" w:cs="Times New Roman"/>
                <w:b/>
                <w:color w:val="1F497D" w:themeColor="text2"/>
                <w:sz w:val="24"/>
                <w:szCs w:val="24"/>
              </w:rPr>
            </w:pPr>
            <w:r w:rsidRPr="009B28EA">
              <w:rPr>
                <w:rFonts w:ascii="Times New Roman" w:hAnsi="Times New Roman"/>
                <w:b/>
                <w:color w:val="1F497D" w:themeColor="text2"/>
                <w:sz w:val="24"/>
                <w:szCs w:val="24"/>
              </w:rPr>
              <w:t>Дизельне паливо</w:t>
            </w:r>
            <w:r w:rsidRPr="009B28EA">
              <w:rPr>
                <w:rFonts w:ascii="Times New Roman" w:hAnsi="Times New Roman" w:cs="Times New Roman"/>
                <w:b/>
                <w:color w:val="1F497D" w:themeColor="text2"/>
                <w:sz w:val="24"/>
                <w:szCs w:val="24"/>
              </w:rPr>
              <w:t xml:space="preserve"> – </w:t>
            </w:r>
            <w:r w:rsidR="00410403">
              <w:rPr>
                <w:rFonts w:ascii="Times New Roman" w:hAnsi="Times New Roman" w:cs="Times New Roman"/>
                <w:b/>
                <w:color w:val="1F497D" w:themeColor="text2"/>
                <w:sz w:val="24"/>
                <w:szCs w:val="24"/>
              </w:rPr>
              <w:t>53 160</w:t>
            </w:r>
            <w:r w:rsidRPr="009B28EA">
              <w:rPr>
                <w:rFonts w:ascii="Times New Roman" w:hAnsi="Times New Roman" w:cs="Times New Roman"/>
                <w:b/>
                <w:color w:val="1F497D" w:themeColor="text2"/>
                <w:sz w:val="24"/>
                <w:szCs w:val="24"/>
                <w:lang w:val="ru-RU"/>
              </w:rPr>
              <w:t xml:space="preserve"> </w:t>
            </w:r>
            <w:r w:rsidRPr="009B28EA">
              <w:rPr>
                <w:rFonts w:ascii="Times New Roman" w:hAnsi="Times New Roman" w:cs="Times New Roman"/>
                <w:b/>
                <w:color w:val="1F497D" w:themeColor="text2"/>
                <w:sz w:val="24"/>
                <w:szCs w:val="24"/>
              </w:rPr>
              <w:t>літрів</w:t>
            </w:r>
          </w:p>
          <w:p w14:paraId="5F3DC782" w14:textId="1C965927" w:rsidR="009877D4" w:rsidRPr="009B28EA" w:rsidRDefault="009B28EA" w:rsidP="00F27C1E">
            <w:pPr>
              <w:spacing w:line="240" w:lineRule="auto"/>
              <w:jc w:val="both"/>
              <w:rPr>
                <w:rFonts w:ascii="Times New Roman" w:hAnsi="Times New Roman" w:cs="Times New Roman"/>
                <w:b/>
                <w:color w:val="1F497D" w:themeColor="text2"/>
                <w:sz w:val="24"/>
                <w:szCs w:val="24"/>
              </w:rPr>
            </w:pPr>
            <w:r w:rsidRPr="009B28EA">
              <w:rPr>
                <w:rFonts w:ascii="Times New Roman" w:hAnsi="Times New Roman" w:cs="Times New Roman"/>
                <w:b/>
                <w:color w:val="1F497D" w:themeColor="text2"/>
                <w:sz w:val="24"/>
                <w:szCs w:val="24"/>
              </w:rPr>
              <w:t xml:space="preserve">Бензин А95 – </w:t>
            </w:r>
            <w:r w:rsidR="00410403">
              <w:rPr>
                <w:rFonts w:ascii="Times New Roman" w:hAnsi="Times New Roman" w:cs="Times New Roman"/>
                <w:b/>
                <w:color w:val="1F497D" w:themeColor="text2"/>
                <w:sz w:val="24"/>
                <w:szCs w:val="24"/>
              </w:rPr>
              <w:t xml:space="preserve">25 500 </w:t>
            </w:r>
            <w:r w:rsidRPr="009B28EA">
              <w:rPr>
                <w:rFonts w:ascii="Times New Roman" w:hAnsi="Times New Roman" w:cs="Times New Roman"/>
                <w:b/>
                <w:color w:val="1F497D" w:themeColor="text2"/>
                <w:sz w:val="24"/>
                <w:szCs w:val="24"/>
              </w:rPr>
              <w:t>літрів</w:t>
            </w:r>
          </w:p>
          <w:p w14:paraId="0CC63568" w14:textId="77777777" w:rsidR="00F66C65" w:rsidRPr="00F66C65" w:rsidRDefault="00F66C65" w:rsidP="009877D4">
            <w:pPr>
              <w:spacing w:line="240" w:lineRule="auto"/>
              <w:jc w:val="both"/>
              <w:rPr>
                <w:rFonts w:ascii="Times New Roman" w:hAnsi="Times New Roman" w:cs="Times New Roman"/>
                <w:b/>
                <w:color w:val="auto"/>
                <w:sz w:val="24"/>
                <w:szCs w:val="24"/>
              </w:rPr>
            </w:pPr>
          </w:p>
          <w:p w14:paraId="2AFB9067" w14:textId="77777777" w:rsidR="004C5054" w:rsidRPr="00DE0837" w:rsidRDefault="004C5054" w:rsidP="00F66C65">
            <w:pPr>
              <w:spacing w:line="240" w:lineRule="auto"/>
              <w:ind w:firstLine="567"/>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100F3448" w:rsidR="000446E7" w:rsidRPr="009877D4" w:rsidRDefault="009877D4" w:rsidP="00E51F90">
            <w:pPr>
              <w:spacing w:line="240" w:lineRule="auto"/>
              <w:jc w:val="both"/>
              <w:rPr>
                <w:rFonts w:ascii="Times New Roman" w:hAnsi="Times New Roman" w:cs="Times New Roman"/>
                <w:sz w:val="24"/>
                <w:szCs w:val="24"/>
              </w:rPr>
            </w:pPr>
            <w:r w:rsidRPr="009877D4">
              <w:rPr>
                <w:rFonts w:ascii="Times New Roman" w:hAnsi="Times New Roman" w:cs="Times New Roman"/>
                <w:sz w:val="24"/>
                <w:szCs w:val="24"/>
              </w:rPr>
              <w:t>протягом 202</w:t>
            </w:r>
            <w:r w:rsidR="00410403">
              <w:rPr>
                <w:rFonts w:ascii="Times New Roman" w:hAnsi="Times New Roman" w:cs="Times New Roman"/>
                <w:sz w:val="24"/>
                <w:szCs w:val="24"/>
              </w:rPr>
              <w:t>4</w:t>
            </w:r>
            <w:r w:rsidRPr="009877D4">
              <w:rPr>
                <w:rFonts w:ascii="Times New Roman" w:hAnsi="Times New Roman" w:cs="Times New Roman"/>
                <w:sz w:val="24"/>
                <w:szCs w:val="24"/>
              </w:rPr>
              <w:t xml:space="preserve">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410403">
              <w:rPr>
                <w:rFonts w:ascii="Times New Roman" w:hAnsi="Times New Roman" w:cs="Times New Roman"/>
                <w:sz w:val="24"/>
                <w:szCs w:val="24"/>
                <w:lang w:val="ru-RU"/>
              </w:rPr>
              <w:t>4</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5D98389" w:rsidR="003B61B4" w:rsidRDefault="007E0FB4" w:rsidP="00F66C65">
            <w:pPr>
              <w:pStyle w:val="a7"/>
              <w:spacing w:before="0" w:after="0"/>
              <w:ind w:firstLine="601"/>
              <w:jc w:val="both"/>
              <w:rPr>
                <w:lang w:val="uk-UA"/>
              </w:rPr>
            </w:pPr>
            <w:r w:rsidRPr="00A27CF8">
              <w:rPr>
                <w:lang w:val="uk-UA"/>
              </w:rPr>
              <w:t xml:space="preserve">Постановою встановлено, що </w:t>
            </w:r>
            <w:r w:rsidR="003B61B4" w:rsidRPr="00A27CF8">
              <w:rPr>
                <w:lang w:val="uk-UA"/>
              </w:rPr>
              <w:t>замовникам забороняється здійснювати публічні закупівлі товарів, робіт і послуг у: громадян</w:t>
            </w:r>
            <w:r w:rsidR="003B61B4" w:rsidRPr="003B61B4">
              <w:rPr>
                <w:lang w:val="uk-UA"/>
              </w:rPr>
              <w:t xml:space="preserve"> Російської Федерації/Республіки Білорусь</w:t>
            </w:r>
            <w:r w:rsidR="00EA1889">
              <w:rPr>
                <w:lang w:val="uk-UA"/>
              </w:rPr>
              <w:t>/</w:t>
            </w:r>
            <w:r w:rsidR="00EA1889" w:rsidRPr="008E4F7F">
              <w:rPr>
                <w:rFonts w:ascii="Times New Roman CYR" w:hAnsi="Times New Roman CYR" w:cs="Times New Roman CYR"/>
                <w:lang w:val="uk-UA" w:eastAsia="ru-RU"/>
              </w:rPr>
              <w:t>/Ісламської Республіки Іран</w:t>
            </w:r>
            <w:r w:rsidR="003B61B4" w:rsidRPr="003B61B4">
              <w:rPr>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EA1889">
              <w:rPr>
                <w:lang w:val="uk-UA"/>
              </w:rPr>
              <w:t>/</w:t>
            </w:r>
            <w:r w:rsidR="00EA1889" w:rsidRPr="008E4F7F">
              <w:rPr>
                <w:rFonts w:ascii="Times New Roman CYR" w:hAnsi="Times New Roman CYR" w:cs="Times New Roman CYR"/>
                <w:lang w:val="uk-UA" w:eastAsia="ru-RU"/>
              </w:rPr>
              <w:t>/Ісламської Республіки Іран</w:t>
            </w:r>
            <w:r w:rsidR="003B61B4" w:rsidRPr="003B61B4">
              <w:rPr>
                <w:lang w:val="uk-U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EA1889">
              <w:rPr>
                <w:lang w:val="uk-UA"/>
              </w:rPr>
              <w:t>/</w:t>
            </w:r>
            <w:r w:rsidR="00EA1889" w:rsidRPr="008E4F7F">
              <w:rPr>
                <w:rFonts w:ascii="Times New Roman CYR" w:hAnsi="Times New Roman CYR" w:cs="Times New Roman CYR"/>
                <w:lang w:val="uk-UA" w:eastAsia="ru-RU"/>
              </w:rPr>
              <w:t>Ісламської Республіки Іран</w:t>
            </w:r>
            <w:r w:rsidR="003B61B4" w:rsidRPr="003B61B4">
              <w:rPr>
                <w:lang w:val="uk-UA"/>
              </w:rPr>
              <w:t>, громадянин Російської Федерації/Республіки Білорусь</w:t>
            </w:r>
            <w:r w:rsidR="00EA1889">
              <w:rPr>
                <w:lang w:val="uk-UA"/>
              </w:rPr>
              <w:t>/</w:t>
            </w:r>
            <w:r w:rsidR="00EA1889" w:rsidRPr="008E4F7F">
              <w:rPr>
                <w:rFonts w:ascii="Times New Roman CYR" w:hAnsi="Times New Roman CYR" w:cs="Times New Roman CYR"/>
                <w:lang w:val="uk-UA" w:eastAsia="ru-RU"/>
              </w:rPr>
              <w:t>Ісламської Республіки Іран</w:t>
            </w:r>
            <w:r w:rsidR="003B61B4" w:rsidRPr="003B61B4">
              <w:rPr>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EA1889">
              <w:rPr>
                <w:lang w:val="uk-UA"/>
              </w:rPr>
              <w:t>/</w:t>
            </w:r>
            <w:r w:rsidR="00EA1889" w:rsidRPr="008E4F7F">
              <w:rPr>
                <w:rFonts w:ascii="Times New Roman CYR" w:hAnsi="Times New Roman CYR" w:cs="Times New Roman CYR"/>
                <w:lang w:val="uk-UA" w:eastAsia="ru-RU"/>
              </w:rPr>
              <w:t>/Ісламської Республіки Іран</w:t>
            </w:r>
            <w:r w:rsidR="003B61B4" w:rsidRPr="003B61B4">
              <w:rPr>
                <w:lang w:val="uk-UA"/>
              </w:rPr>
              <w:t>;</w:t>
            </w:r>
          </w:p>
          <w:p w14:paraId="15AE286A" w14:textId="2AC7DD6B" w:rsidR="007E0FB4" w:rsidRPr="00F66C65" w:rsidRDefault="003B61B4" w:rsidP="003B61B4">
            <w:pPr>
              <w:pStyle w:val="a7"/>
              <w:spacing w:before="0" w:after="0"/>
              <w:ind w:firstLine="601"/>
              <w:jc w:val="both"/>
              <w:rPr>
                <w:lang w:val="uk-UA"/>
              </w:rPr>
            </w:pPr>
            <w:r w:rsidRPr="003B61B4">
              <w:rPr>
                <w:lang w:val="uk-UA"/>
              </w:rPr>
              <w:t>замовникам забороняється здійснювати публічні закупівлі товарів походженням з Російської Федерації/Республіки Білорусь</w:t>
            </w:r>
            <w:r w:rsidR="00EA1889">
              <w:rPr>
                <w:lang w:val="uk-UA"/>
              </w:rPr>
              <w:t>/</w:t>
            </w:r>
            <w:r w:rsidR="00EA1889" w:rsidRPr="008E4F7F">
              <w:rPr>
                <w:rFonts w:ascii="Times New Roman CYR" w:hAnsi="Times New Roman CYR" w:cs="Times New Roman CYR"/>
                <w:lang w:val="uk-UA" w:eastAsia="ru-RU"/>
              </w:rPr>
              <w:t>Ісламської Республіки Іран</w:t>
            </w:r>
            <w:r w:rsidRPr="003B61B4">
              <w:rPr>
                <w:lang w:val="uk-UA"/>
              </w:rPr>
              <w:t xml:space="preserve">,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w:t>
            </w:r>
            <w:r w:rsidRPr="00F66C65">
              <w:rPr>
                <w:lang w:val="uk-UA"/>
              </w:rPr>
              <w:lastRenderedPageBreak/>
              <w:t>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w:t>
            </w:r>
            <w:r w:rsidRPr="00DE0837">
              <w:rPr>
                <w:lang w:val="uk-UA"/>
              </w:rPr>
              <w:lastRenderedPageBreak/>
              <w:t xml:space="preserve">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14:paraId="7E3E7FC9" w14:textId="77777777" w:rsidR="000446E7" w:rsidRPr="00DE0837" w:rsidRDefault="000446E7" w:rsidP="004122F2">
            <w:pPr>
              <w:pStyle w:val="a7"/>
              <w:spacing w:before="0" w:after="0"/>
              <w:ind w:firstLine="601"/>
              <w:jc w:val="both"/>
              <w:rPr>
                <w:lang w:val="uk-UA"/>
              </w:rPr>
            </w:pPr>
            <w:r w:rsidRPr="00DE0837">
              <w:rPr>
                <w:lang w:val="uk-UA"/>
              </w:rPr>
              <w:t>Цтдол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273" w:type="dxa"/>
            <w:gridSpan w:val="2"/>
          </w:tcPr>
          <w:p w14:paraId="68482864" w14:textId="77777777" w:rsidR="007E0FB4" w:rsidRPr="007E0FB4" w:rsidRDefault="007E0FB4" w:rsidP="00191960">
            <w:pPr>
              <w:pStyle w:val="a7"/>
              <w:spacing w:before="0" w:after="0"/>
              <w:ind w:firstLine="601"/>
              <w:jc w:val="both"/>
              <w:rPr>
                <w:lang w:val="uk-UA"/>
              </w:rPr>
            </w:pPr>
            <w:r>
              <w:rPr>
                <w:lang w:val="uk-UA"/>
              </w:rPr>
              <w:t xml:space="preserve">1.1 </w:t>
            </w:r>
            <w:r w:rsidRPr="007E0FB4">
              <w:rPr>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14:paraId="3342607E" w14:textId="77777777" w:rsidR="007E0FB4" w:rsidRPr="007E0FB4" w:rsidRDefault="007E0FB4" w:rsidP="00191960">
            <w:pPr>
              <w:pStyle w:val="a7"/>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47C8549" w14:textId="77777777" w:rsidR="007E0FB4" w:rsidRDefault="007E0FB4" w:rsidP="00191960">
            <w:pPr>
              <w:pStyle w:val="a7"/>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7"/>
              <w:spacing w:before="0" w:after="0"/>
              <w:ind w:firstLine="612"/>
              <w:jc w:val="both"/>
              <w:rPr>
                <w:lang w:val="uk-UA"/>
              </w:rPr>
            </w:pPr>
            <w:r>
              <w:rPr>
                <w:lang w:val="uk-UA"/>
              </w:rPr>
              <w:t xml:space="preserve">2.1 </w:t>
            </w:r>
            <w:r w:rsidRPr="00191960">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191960">
              <w:rPr>
                <w:lang w:val="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7"/>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7"/>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32633FFA" w14:textId="77777777" w:rsidR="00C20F44" w:rsidRPr="00191960" w:rsidRDefault="00372564" w:rsidP="00C20F44">
            <w:pPr>
              <w:pStyle w:val="a7"/>
              <w:spacing w:before="0" w:after="0"/>
              <w:ind w:firstLine="601"/>
              <w:jc w:val="both"/>
              <w:rPr>
                <w:lang w:val="uk-UA"/>
              </w:rPr>
            </w:pPr>
            <w:r w:rsidRPr="00DE0837">
              <w:rPr>
                <w:lang w:val="uk-UA"/>
              </w:rPr>
              <w:t xml:space="preserve">1.1. </w:t>
            </w:r>
            <w:r w:rsidR="00C20F44" w:rsidRPr="00E60B19">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(за можливості у форматі PDF (Portable Document Format),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1AAB6A14"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B85960" w:rsidRPr="00B85960">
              <w:rPr>
                <w:rFonts w:ascii="Times New Roman" w:hAnsi="Times New Roman" w:cs="Times New Roman"/>
                <w:color w:val="auto"/>
                <w:sz w:val="24"/>
                <w:szCs w:val="24"/>
                <w:lang w:val="uk-UA"/>
              </w:rPr>
              <w:t>інформації щодо відповідності учасника вимогам, визначеним у пункті 47 Особливостей (додаток № 2)</w:t>
            </w:r>
            <w:r w:rsidRPr="00103D45">
              <w:rPr>
                <w:rFonts w:ascii="Times New Roman" w:hAnsi="Times New Roman" w:cs="Times New Roman"/>
                <w:color w:val="auto"/>
                <w:sz w:val="24"/>
                <w:szCs w:val="24"/>
                <w:lang w:val="uk-UA"/>
              </w:rPr>
              <w:t>;</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 xml:space="preserve">за формою, викладеною в </w:t>
            </w:r>
            <w:r w:rsidR="009C0D1E" w:rsidRPr="00103D45">
              <w:rPr>
                <w:rFonts w:ascii="Times New Roman" w:hAnsi="Times New Roman" w:cs="Times New Roman"/>
                <w:color w:val="auto"/>
                <w:sz w:val="24"/>
                <w:szCs w:val="24"/>
                <w:lang w:val="uk-UA"/>
              </w:rPr>
              <w:lastRenderedPageBreak/>
              <w:t>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A99AFF2" w14:textId="77777777" w:rsidR="006E4152" w:rsidRPr="00AF6483" w:rsidRDefault="006E4152" w:rsidP="006E4152">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14:paraId="5F062461" w14:textId="77777777" w:rsidR="00D16AA3" w:rsidRDefault="00BA1827" w:rsidP="00D16AA3">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EC4A85C" w14:textId="751B28AC" w:rsidR="00D16AA3" w:rsidRPr="00D16AA3" w:rsidRDefault="00D16AA3" w:rsidP="00D16AA3">
            <w:pPr>
              <w:shd w:val="clear" w:color="auto" w:fill="FFFFFF"/>
              <w:spacing w:line="240" w:lineRule="auto"/>
              <w:jc w:val="both"/>
              <w:textAlignment w:val="baseline"/>
              <w:rPr>
                <w:rFonts w:ascii="Times New Roman" w:hAnsi="Times New Roman" w:cs="Times New Roman"/>
                <w:color w:val="auto"/>
                <w:sz w:val="24"/>
                <w:szCs w:val="24"/>
              </w:rPr>
            </w:pPr>
            <w:r>
              <w:t xml:space="preserve">       </w:t>
            </w:r>
            <w:r w:rsidRPr="00D16AA3">
              <w:rPr>
                <w:rFonts w:ascii="Times New Roman" w:hAnsi="Times New Roman" w:cs="Times New Roman"/>
                <w:color w:val="auto"/>
                <w:sz w:val="24"/>
                <w:szCs w:val="24"/>
                <w:lang w:eastAsia="ar-SA"/>
              </w:rPr>
              <w:t>У випадку відсутності даної інформації або у випадку ненакладення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lastRenderedPageBreak/>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DE0837">
              <w:rPr>
                <w:rFonts w:ascii="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4B65244B" w14:textId="303E1A6B" w:rsidR="0095173A" w:rsidRPr="00DE0837" w:rsidRDefault="00CD7141" w:rsidP="0014258E">
            <w:pPr>
              <w:pStyle w:val="rvps2"/>
              <w:shd w:val="clear" w:color="auto" w:fill="FFFFFF"/>
              <w:spacing w:before="0" w:beforeAutospacing="0" w:after="0" w:afterAutospacing="0"/>
              <w:ind w:firstLine="601"/>
              <w:jc w:val="both"/>
            </w:pPr>
            <w:r>
              <w:rPr>
                <w:color w:val="333333"/>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14258E">
              <w:t>.</w:t>
            </w:r>
          </w:p>
        </w:tc>
      </w:tr>
      <w:tr w:rsidR="00126F49" w:rsidRPr="00DE0837" w14:paraId="373496EA" w14:textId="77777777" w:rsidTr="006F0F80">
        <w:trPr>
          <w:trHeight w:val="520"/>
          <w:jc w:val="center"/>
        </w:trPr>
        <w:tc>
          <w:tcPr>
            <w:tcW w:w="576" w:type="dxa"/>
          </w:tcPr>
          <w:p w14:paraId="41B8EB56" w14:textId="77777777" w:rsidR="00126F49" w:rsidRPr="00DE0837" w:rsidRDefault="00126F49" w:rsidP="00126F49">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49F250E5" w14:textId="372C98AE" w:rsidR="00126F49" w:rsidRPr="00096833" w:rsidRDefault="00126F49" w:rsidP="00126F49">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w:t>
            </w:r>
          </w:p>
          <w:p w14:paraId="37D15534" w14:textId="205E23E9" w:rsidR="00126F49" w:rsidRPr="00096833" w:rsidRDefault="00126F49" w:rsidP="00126F49">
            <w:pPr>
              <w:pStyle w:val="1"/>
              <w:widowControl w:val="0"/>
              <w:spacing w:line="240" w:lineRule="auto"/>
              <w:rPr>
                <w:rFonts w:ascii="Times New Roman" w:hAnsi="Times New Roman" w:cs="Times New Roman"/>
                <w:color w:val="auto"/>
                <w:sz w:val="24"/>
                <w:szCs w:val="24"/>
                <w:lang w:val="uk-UA"/>
              </w:rPr>
            </w:pPr>
            <w:r w:rsidRPr="00096833">
              <w:rPr>
                <w:rFonts w:ascii="Times New Roman" w:hAnsi="Times New Roman" w:cs="Times New Roman"/>
                <w:color w:val="auto"/>
                <w:sz w:val="24"/>
                <w:szCs w:val="24"/>
                <w:lang w:val="uk-UA"/>
              </w:rPr>
              <w:t>встановлені в пункті 44 Особливостей</w:t>
            </w:r>
          </w:p>
        </w:tc>
        <w:tc>
          <w:tcPr>
            <w:tcW w:w="6273" w:type="dxa"/>
            <w:gridSpan w:val="2"/>
          </w:tcPr>
          <w:p w14:paraId="3903A8EC" w14:textId="77777777" w:rsidR="00126F49" w:rsidRPr="00BA1066" w:rsidRDefault="00126F49" w:rsidP="00126F49">
            <w:pPr>
              <w:pStyle w:val="a7"/>
              <w:spacing w:before="0" w:after="0" w:line="20" w:lineRule="atLeast"/>
              <w:ind w:firstLine="601"/>
              <w:jc w:val="both"/>
              <w:rPr>
                <w:lang w:val="uk-UA"/>
              </w:rPr>
            </w:pPr>
            <w:r w:rsidRPr="00DE0837">
              <w:rPr>
                <w:lang w:val="uk-UA"/>
              </w:rPr>
              <w:t xml:space="preserve">5.1. </w:t>
            </w:r>
            <w:r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C744125" w14:textId="77777777" w:rsidR="00126F49" w:rsidRDefault="00126F49" w:rsidP="00126F49">
            <w:pPr>
              <w:pStyle w:val="a7"/>
              <w:spacing w:before="0" w:after="0" w:line="20" w:lineRule="atLeast"/>
              <w:ind w:firstLine="601"/>
              <w:jc w:val="both"/>
              <w:rPr>
                <w:lang w:val="uk-UA"/>
              </w:rPr>
            </w:pPr>
            <w:r w:rsidRPr="00F36CFA">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2F4195B" w14:textId="77777777" w:rsidR="00126F49" w:rsidRPr="00BA1066" w:rsidRDefault="00126F49" w:rsidP="00126F49">
            <w:pPr>
              <w:pStyle w:val="a7"/>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97DAE00" w14:textId="77777777" w:rsidR="00126F49" w:rsidRPr="00BA1066" w:rsidRDefault="00126F49" w:rsidP="00126F49">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згідно з додатком 1 до тендерної документації.</w:t>
            </w:r>
          </w:p>
          <w:p w14:paraId="0588E5E2" w14:textId="77777777" w:rsidR="00126F49" w:rsidRPr="00BA1066" w:rsidRDefault="00126F49" w:rsidP="00126F49">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E7C532" w14:textId="77777777" w:rsidR="00126F49" w:rsidRPr="00103D45" w:rsidRDefault="00126F49" w:rsidP="00126F49">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процедурі закупівлі, встановлені у додатку 1 до цієї тендерної документації.</w:t>
            </w:r>
          </w:p>
          <w:p w14:paraId="298514EA" w14:textId="77777777" w:rsidR="00126F49" w:rsidRPr="00BA1066" w:rsidRDefault="00126F49" w:rsidP="00126F49">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71801153" w14:textId="77777777" w:rsidR="00126F49" w:rsidRDefault="00126F49" w:rsidP="00126F49">
            <w:pPr>
              <w:pStyle w:val="a7"/>
              <w:spacing w:before="0" w:after="0" w:line="20" w:lineRule="atLeast"/>
              <w:ind w:firstLine="601"/>
              <w:jc w:val="both"/>
              <w:rPr>
                <w:lang w:val="uk-UA"/>
              </w:rPr>
            </w:pPr>
            <w:r w:rsidRPr="008C601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8C601F">
              <w:rPr>
                <w:lang w:val="uk-UA"/>
              </w:rPr>
              <w:t>.</w:t>
            </w:r>
          </w:p>
          <w:p w14:paraId="59257F75" w14:textId="77777777" w:rsidR="00126F49" w:rsidRDefault="00126F49" w:rsidP="00126F49">
            <w:pPr>
              <w:pStyle w:val="a7"/>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979156" w14:textId="77777777" w:rsidR="00126F49" w:rsidRDefault="00126F49" w:rsidP="00126F49">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Pr>
                <w:lang w:val="uk-UA"/>
              </w:rPr>
              <w:t xml:space="preserve"> 47 Особливостей</w:t>
            </w:r>
            <w:r w:rsidRPr="002E411A">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Pr="00CC1D23">
              <w:rPr>
                <w:lang w:val="uk-UA"/>
              </w:rPr>
              <w:t>.</w:t>
            </w:r>
          </w:p>
          <w:p w14:paraId="67AF3DF2" w14:textId="77777777" w:rsidR="00126F49" w:rsidRDefault="00126F49" w:rsidP="00126F49">
            <w:pPr>
              <w:pStyle w:val="a7"/>
              <w:spacing w:before="0" w:after="0" w:line="20" w:lineRule="atLeast"/>
              <w:ind w:firstLine="601"/>
              <w:jc w:val="both"/>
              <w:rPr>
                <w:lang w:val="uk-UA"/>
              </w:rPr>
            </w:pPr>
            <w:r w:rsidRPr="00601110">
              <w:rPr>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47 Особливостей</w:t>
            </w:r>
            <w:r w:rsidRPr="00601110">
              <w:rPr>
                <w:lang w:val="uk-UA"/>
              </w:rPr>
              <w:t>.</w:t>
            </w:r>
          </w:p>
          <w:p w14:paraId="48E86579" w14:textId="77777777" w:rsidR="00126F49" w:rsidRPr="003A76D0" w:rsidRDefault="00126F49" w:rsidP="00126F49">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1689B6C4"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352E95"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9" w:name="n399"/>
            <w:bookmarkEnd w:id="9"/>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48D881"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A6A68E"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05951"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7F806C"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E7CCA"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604C9"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7) тендерна пропозиція подана учасником процедури закупівлі, який є пов’язаною особою з іншими учасниками </w:t>
            </w:r>
            <w:r w:rsidRPr="003A76D0">
              <w:rPr>
                <w:rFonts w:ascii="Times New Roman" w:hAnsi="Times New Roman" w:cs="Times New Roman"/>
                <w:color w:val="000000" w:themeColor="text1"/>
                <w:sz w:val="24"/>
                <w:szCs w:val="24"/>
                <w:lang w:eastAsia="uk-UA"/>
              </w:rPr>
              <w:lastRenderedPageBreak/>
              <w:t>процедури закупівлі та/або з уповноваженою особою (особами), та/або з керівником замовника;</w:t>
            </w:r>
          </w:p>
          <w:p w14:paraId="21E25DBA"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4325FB9"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EE3B2" w14:textId="77777777" w:rsidR="00126F49" w:rsidRPr="003A76D0"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1F2F0" w14:textId="77777777" w:rsidR="00126F49" w:rsidRDefault="00126F49" w:rsidP="00126F4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Pr="000E6650">
              <w:rPr>
                <w:rFonts w:ascii="Times New Roman" w:hAnsi="Times New Roman" w:cs="Times New Roman"/>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5291C1C5" w14:textId="77777777" w:rsidR="00126F49" w:rsidRPr="00334579" w:rsidRDefault="00126F49" w:rsidP="00126F4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14:paraId="3CC38193" w14:textId="77777777" w:rsidR="00126F49" w:rsidRPr="00334579" w:rsidRDefault="00126F49" w:rsidP="00126F4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334ECA88" w14:textId="77777777" w:rsidR="00126F49" w:rsidRPr="00334579" w:rsidRDefault="00126F49" w:rsidP="00126F4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w:t>
            </w:r>
            <w:r w:rsidRPr="00334579">
              <w:rPr>
                <w:rFonts w:ascii="Times New Roman" w:hAnsi="Times New Roman" w:cs="Times New Roman"/>
                <w:i/>
                <w:color w:val="000000" w:themeColor="text1"/>
                <w:sz w:val="24"/>
                <w:szCs w:val="24"/>
                <w:lang w:eastAsia="uk-UA"/>
              </w:rPr>
              <w:lastRenderedPageBreak/>
              <w:t>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0BC8CFC" w14:textId="77777777" w:rsidR="00126F49" w:rsidRPr="003A76D0" w:rsidRDefault="00126F49" w:rsidP="00126F4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7987A0" w14:textId="77777777" w:rsidR="00126F49" w:rsidRPr="003A76D0" w:rsidRDefault="00126F49" w:rsidP="00126F49">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54C424" w14:textId="77777777" w:rsidR="00126F49" w:rsidRPr="00BA1066" w:rsidRDefault="00126F49" w:rsidP="00126F49">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встановлених </w:t>
            </w:r>
            <w:r>
              <w:rPr>
                <w:lang w:val="uk-UA"/>
              </w:rPr>
              <w:t>пунктом 47</w:t>
            </w:r>
            <w:r w:rsidRPr="00BA1066">
              <w:rPr>
                <w:lang w:val="uk-UA"/>
              </w:rPr>
              <w:t xml:space="preserve"> </w:t>
            </w:r>
            <w:r>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27F569B4" w14:textId="77777777" w:rsidR="00126F49" w:rsidRDefault="00126F49" w:rsidP="00126F49">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10" w:name="n1278"/>
            <w:bookmarkEnd w:id="10"/>
          </w:p>
          <w:p w14:paraId="0CE4E2F4" w14:textId="77777777" w:rsidR="00126F49" w:rsidRDefault="00126F49" w:rsidP="00126F49">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3E365D6" w14:textId="77777777" w:rsidR="00126F49" w:rsidRDefault="00126F49" w:rsidP="00126F49">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05C68941" w:rsidR="00126F49" w:rsidRPr="00DE782A" w:rsidRDefault="00126F49" w:rsidP="00126F49">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7"/>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-ння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E95B2C9" w:rsidR="00660F96" w:rsidRPr="00DD1EA5" w:rsidRDefault="00660F96" w:rsidP="000853EE">
            <w:pPr>
              <w:spacing w:line="240" w:lineRule="auto"/>
              <w:ind w:firstLine="601"/>
              <w:jc w:val="both"/>
              <w:rPr>
                <w:rFonts w:ascii="Times New Roman" w:hAnsi="Times New Roman" w:cs="Times New Roman"/>
                <w:color w:val="auto"/>
                <w:sz w:val="24"/>
                <w:szCs w:val="24"/>
                <w:lang w:val="ru-RU"/>
              </w:rPr>
            </w:pPr>
            <w:r w:rsidRPr="004823E2">
              <w:rPr>
                <w:rFonts w:ascii="Times New Roman" w:hAnsi="Times New Roman" w:cs="Times New Roman"/>
                <w:color w:val="auto"/>
                <w:sz w:val="24"/>
                <w:szCs w:val="24"/>
              </w:rPr>
              <w:t xml:space="preserve">1.1.Кінцевий строк подання тендерних пропозицій </w:t>
            </w:r>
            <w:r w:rsidR="00A86B94">
              <w:rPr>
                <w:rFonts w:ascii="Times New Roman" w:hAnsi="Times New Roman" w:cs="Times New Roman"/>
                <w:b/>
                <w:color w:val="1F497D" w:themeColor="text2"/>
                <w:sz w:val="24"/>
                <w:szCs w:val="24"/>
              </w:rPr>
              <w:t>20</w:t>
            </w:r>
            <w:r w:rsidR="000F3442">
              <w:rPr>
                <w:rFonts w:ascii="Times New Roman" w:hAnsi="Times New Roman" w:cs="Times New Roman"/>
                <w:b/>
                <w:color w:val="1F497D" w:themeColor="text2"/>
                <w:sz w:val="24"/>
                <w:szCs w:val="24"/>
              </w:rPr>
              <w:t>.</w:t>
            </w:r>
            <w:r w:rsidR="00415783">
              <w:rPr>
                <w:rFonts w:ascii="Times New Roman" w:hAnsi="Times New Roman" w:cs="Times New Roman"/>
                <w:b/>
                <w:color w:val="1F497D" w:themeColor="text2"/>
                <w:sz w:val="24"/>
                <w:szCs w:val="24"/>
              </w:rPr>
              <w:t>04.</w:t>
            </w:r>
            <w:r w:rsidR="00103D45" w:rsidRPr="00E51F90">
              <w:rPr>
                <w:rFonts w:ascii="Times New Roman" w:hAnsi="Times New Roman" w:cs="Times New Roman"/>
                <w:b/>
                <w:color w:val="1F497D" w:themeColor="text2"/>
                <w:sz w:val="24"/>
                <w:szCs w:val="24"/>
              </w:rPr>
              <w:t>202</w:t>
            </w:r>
            <w:r w:rsidR="007C3675">
              <w:rPr>
                <w:rFonts w:ascii="Times New Roman" w:hAnsi="Times New Roman" w:cs="Times New Roman"/>
                <w:b/>
                <w:color w:val="1F497D" w:themeColor="text2"/>
                <w:sz w:val="24"/>
                <w:szCs w:val="24"/>
              </w:rPr>
              <w:t>4</w:t>
            </w:r>
            <w:r w:rsidR="00103D45" w:rsidRPr="00E51F90">
              <w:rPr>
                <w:rFonts w:ascii="Times New Roman" w:hAnsi="Times New Roman" w:cs="Times New Roman"/>
                <w:b/>
                <w:color w:val="1F497D" w:themeColor="text2"/>
                <w:sz w:val="24"/>
                <w:szCs w:val="24"/>
              </w:rPr>
              <w:t xml:space="preserve"> до </w:t>
            </w:r>
            <w:r w:rsidR="00DD1EA5" w:rsidRPr="00E51F90">
              <w:rPr>
                <w:rFonts w:ascii="Times New Roman" w:hAnsi="Times New Roman" w:cs="Times New Roman"/>
                <w:b/>
                <w:color w:val="1F497D" w:themeColor="text2"/>
                <w:sz w:val="24"/>
                <w:szCs w:val="24"/>
                <w:lang w:val="ru-RU"/>
              </w:rPr>
              <w:t>1</w:t>
            </w:r>
            <w:r w:rsidR="00415783">
              <w:rPr>
                <w:rFonts w:ascii="Times New Roman" w:hAnsi="Times New Roman" w:cs="Times New Roman"/>
                <w:b/>
                <w:color w:val="1F497D" w:themeColor="text2"/>
                <w:sz w:val="24"/>
                <w:szCs w:val="24"/>
                <w:lang w:val="ru-RU"/>
              </w:rPr>
              <w:t>0</w:t>
            </w:r>
            <w:r w:rsidR="00DD1EA5" w:rsidRPr="00E51F90">
              <w:rPr>
                <w:rFonts w:ascii="Times New Roman" w:hAnsi="Times New Roman" w:cs="Times New Roman"/>
                <w:b/>
                <w:color w:val="1F497D" w:themeColor="text2"/>
                <w:sz w:val="24"/>
                <w:szCs w:val="24"/>
                <w:lang w:val="ru-RU"/>
              </w:rPr>
              <w:t>.00</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0C728969" w14:textId="77777777" w:rsidR="00660F96" w:rsidRPr="00DE0837" w:rsidRDefault="00660F96" w:rsidP="000853EE">
            <w:pPr>
              <w:pStyle w:val="rvps2"/>
              <w:shd w:val="clear" w:color="auto" w:fill="FFFFFF"/>
              <w:spacing w:before="0" w:beforeAutospacing="0" w:after="0" w:afterAutospacing="0"/>
              <w:ind w:firstLine="601"/>
              <w:jc w:val="both"/>
            </w:pPr>
            <w:r w:rsidRPr="00DE0837">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1" w:name="n1465"/>
            <w:bookmarkEnd w:id="11"/>
            <w:r w:rsidRPr="00DE0837">
              <w:rPr>
                <w:rFonts w:ascii="Times New Roman" w:hAnsi="Times New Roman" w:cs="Times New Roman"/>
                <w:color w:val="auto"/>
                <w:sz w:val="24"/>
                <w:szCs w:val="24"/>
                <w:lang w:val="uk-UA"/>
              </w:rPr>
              <w:t xml:space="preserve">1.4. Отримана тендерна пропозиція/пропозиція вноситься автоматично до реєстру отриманих тендерних </w:t>
            </w:r>
            <w:r w:rsidRPr="00DE0837">
              <w:rPr>
                <w:rFonts w:ascii="Times New Roman" w:hAnsi="Times New Roman" w:cs="Times New Roman"/>
                <w:color w:val="auto"/>
                <w:sz w:val="24"/>
                <w:szCs w:val="24"/>
                <w:lang w:val="uk-UA"/>
              </w:rPr>
              <w:lastRenderedPageBreak/>
              <w:t>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723A3F" w:rsidRPr="00DE0837" w14:paraId="6ED086AE" w14:textId="77777777" w:rsidTr="006F0F80">
        <w:trPr>
          <w:trHeight w:val="520"/>
          <w:jc w:val="center"/>
        </w:trPr>
        <w:tc>
          <w:tcPr>
            <w:tcW w:w="576" w:type="dxa"/>
          </w:tcPr>
          <w:p w14:paraId="5D8D516F" w14:textId="77777777" w:rsidR="00723A3F" w:rsidRPr="00DE0837" w:rsidRDefault="00723A3F" w:rsidP="00723A3F">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723A3F" w:rsidRPr="00DE0837" w:rsidRDefault="00723A3F" w:rsidP="00723A3F">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6779A327" w14:textId="77777777" w:rsidR="00723A3F" w:rsidRDefault="00723A3F" w:rsidP="00723A3F">
            <w:pPr>
              <w:pStyle w:val="a7"/>
              <w:spacing w:before="0" w:after="0"/>
              <w:ind w:firstLine="601"/>
              <w:jc w:val="both"/>
              <w:rPr>
                <w:lang w:val="uk-UA"/>
              </w:rPr>
            </w:pPr>
            <w:r w:rsidRPr="00DE0837">
              <w:rPr>
                <w:lang w:val="uk-UA"/>
              </w:rPr>
              <w:t xml:space="preserve">2.1 </w:t>
            </w:r>
            <w:r w:rsidRPr="00143B8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71395">
              <w:rPr>
                <w:lang w:val="uk-UA"/>
              </w:rPr>
              <w:t>.</w:t>
            </w:r>
          </w:p>
          <w:p w14:paraId="4074FA9E" w14:textId="77777777" w:rsidR="00723A3F" w:rsidRDefault="00723A3F" w:rsidP="00723A3F">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2BF4501" w14:textId="77777777" w:rsidR="00723A3F" w:rsidRDefault="00723A3F" w:rsidP="00723A3F">
            <w:pPr>
              <w:pStyle w:val="a7"/>
              <w:spacing w:before="0" w:after="0"/>
              <w:ind w:firstLine="601"/>
              <w:jc w:val="both"/>
              <w:rPr>
                <w:lang w:val="uk-UA"/>
              </w:rPr>
            </w:pPr>
            <w:r w:rsidRPr="00B05A58">
              <w:rPr>
                <w:lang w:val="uk-UA"/>
              </w:rPr>
              <w:t xml:space="preserve">Замовник розглядає таку тендерну пропозицію відповідно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lang w:val="uk-UA"/>
              </w:rPr>
              <w:t>О</w:t>
            </w:r>
            <w:r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Pr>
                <w:lang w:val="uk-UA"/>
              </w:rPr>
              <w:t xml:space="preserve">36 Особливостей </w:t>
            </w:r>
            <w:r w:rsidRPr="00B05A58">
              <w:rPr>
                <w:lang w:val="uk-UA"/>
              </w:rPr>
              <w:t>щодо її відповідності вимогам тендерної документації.</w:t>
            </w:r>
          </w:p>
          <w:p w14:paraId="5EC72DC0" w14:textId="77777777" w:rsidR="00723A3F" w:rsidRDefault="00723A3F" w:rsidP="00723A3F">
            <w:pPr>
              <w:pStyle w:val="a7"/>
              <w:spacing w:before="0" w:after="0"/>
              <w:ind w:firstLine="601"/>
              <w:jc w:val="both"/>
              <w:rPr>
                <w:lang w:val="uk-UA"/>
              </w:rPr>
            </w:pPr>
            <w:r w:rsidRPr="005D1581">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Pr>
                <w:lang w:val="uk-UA"/>
              </w:rPr>
              <w:t xml:space="preserve">. </w:t>
            </w:r>
          </w:p>
          <w:p w14:paraId="1A32F84B"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306C0B0C"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bookmarkStart w:id="12" w:name="n293"/>
            <w:bookmarkEnd w:id="12"/>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3BF08EDF"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6A5CDBE"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71D2A57F"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3923F12C"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32E7FE86"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7) інформацію та документи, що підтверджують відповідність учасника кваліфікаційним критеріям/умовам, визначеним в оголошенні про проведення спрощеної </w:t>
            </w:r>
            <w:r w:rsidRPr="00511A4E">
              <w:rPr>
                <w:color w:val="000000" w:themeColor="text1"/>
              </w:rPr>
              <w:lastRenderedPageBreak/>
              <w:t>закупівлі, та вимогам до предмета закупівлі, а також інформацію та документи, що містять технічний опис предмета закупівлі;</w:t>
            </w:r>
          </w:p>
          <w:p w14:paraId="091C36D8" w14:textId="77777777" w:rsidR="00723A3F" w:rsidRPr="00511A4E" w:rsidRDefault="00723A3F" w:rsidP="00723A3F">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3" w:name="n300"/>
            <w:bookmarkEnd w:id="13"/>
          </w:p>
          <w:p w14:paraId="10A3967A" w14:textId="1A70BFFB" w:rsidR="00723A3F" w:rsidRPr="00D4666B" w:rsidRDefault="00723A3F" w:rsidP="00723A3F">
            <w:pPr>
              <w:pStyle w:val="rvps2"/>
              <w:shd w:val="clear" w:color="auto" w:fill="FFFFFF"/>
              <w:spacing w:before="0" w:beforeAutospacing="0" w:after="15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7"/>
              <w:spacing w:before="0" w:after="0"/>
              <w:ind w:firstLine="601"/>
              <w:jc w:val="both"/>
              <w:rPr>
                <w:lang w:val="uk-UA"/>
              </w:rPr>
            </w:pPr>
            <w:r w:rsidRPr="007C3D2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14" w:name="n302"/>
            <w:bookmarkEnd w:id="14"/>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15" w:name="n303"/>
            <w:bookmarkEnd w:id="15"/>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16" w:name="n304"/>
            <w:bookmarkEnd w:id="16"/>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17" w:name="n305"/>
            <w:bookmarkEnd w:id="17"/>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18" w:name="n307"/>
            <w:bookmarkEnd w:id="18"/>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19" w:name="n308"/>
            <w:bookmarkEnd w:id="19"/>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20" w:name="n309"/>
            <w:bookmarkEnd w:id="20"/>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21" w:name="n310"/>
            <w:bookmarkEnd w:id="21"/>
            <w:r>
              <w:rPr>
                <w:color w:val="333333"/>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7"/>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Pr>
                <w:color w:val="333333"/>
                <w:shd w:val="clear" w:color="auto" w:fill="FFFFFF"/>
              </w:rPr>
              <w:t>Питома вага цінового критерію не може бути нижчою ніж 70 відсотків</w:t>
            </w:r>
            <w:r w:rsidR="00A706F6" w:rsidRPr="00A706F6">
              <w:rPr>
                <w:lang w:val="uk-UA"/>
              </w:rPr>
              <w:t>.</w:t>
            </w:r>
          </w:p>
          <w:p w14:paraId="73CC5F9B" w14:textId="77777777" w:rsidR="00A706F6" w:rsidRPr="00A706F6" w:rsidRDefault="00A706F6" w:rsidP="00A706F6">
            <w:pPr>
              <w:pStyle w:val="a7"/>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7"/>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7"/>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A706F6" w:rsidRDefault="002B137F" w:rsidP="00A706F6">
            <w:pPr>
              <w:pStyle w:val="a7"/>
              <w:spacing w:before="0" w:after="0"/>
              <w:ind w:firstLine="601"/>
              <w:jc w:val="both"/>
              <w:rPr>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собливостей (далі - найбільш економічно вигідна тендерна пропозиція), щодо її відповідності вимогам тендерної документації.</w:t>
            </w:r>
            <w:r w:rsidR="00A706F6" w:rsidRPr="00A706F6">
              <w:rPr>
                <w:lang w:val="uk-UA"/>
              </w:rPr>
              <w:t>.</w:t>
            </w:r>
          </w:p>
          <w:p w14:paraId="057063D1" w14:textId="4B8AC277" w:rsidR="00A706F6" w:rsidRPr="00A706F6" w:rsidRDefault="002B137F" w:rsidP="00A706F6">
            <w:pPr>
              <w:pStyle w:val="a7"/>
              <w:spacing w:before="0" w:after="0"/>
              <w:ind w:firstLine="601"/>
              <w:jc w:val="both"/>
              <w:rPr>
                <w:lang w:val="uk-UA"/>
              </w:rPr>
            </w:pPr>
            <w:r w:rsidRPr="002B137F">
              <w:rPr>
                <w:color w:val="333333"/>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333333"/>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706F6" w:rsidRPr="00A706F6">
              <w:rPr>
                <w:lang w:val="uk-UA"/>
              </w:rPr>
              <w:t>.</w:t>
            </w:r>
          </w:p>
          <w:p w14:paraId="43B1F01D" w14:textId="52FA3292" w:rsidR="00A706F6" w:rsidRPr="00A706F6" w:rsidRDefault="001801E7" w:rsidP="00A706F6">
            <w:pPr>
              <w:pStyle w:val="a7"/>
              <w:spacing w:before="0" w:after="0"/>
              <w:ind w:firstLine="601"/>
              <w:jc w:val="both"/>
              <w:rPr>
                <w:lang w:val="uk-UA"/>
              </w:rPr>
            </w:pPr>
            <w:r w:rsidRPr="001801E7">
              <w:rPr>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333333"/>
                <w:shd w:val="clear" w:color="auto" w:fill="FFFFFF"/>
                <w:lang w:val="uk-UA"/>
              </w:rPr>
              <w:t>О</w:t>
            </w:r>
            <w:r w:rsidRPr="001801E7">
              <w:rPr>
                <w:color w:val="333333"/>
                <w:shd w:val="clear" w:color="auto" w:fill="FFFFFF"/>
                <w:lang w:val="uk-UA"/>
              </w:rPr>
              <w:t>собливостями.</w:t>
            </w:r>
          </w:p>
          <w:p w14:paraId="1C55624D" w14:textId="77777777" w:rsidR="00A706F6" w:rsidRDefault="00A706F6" w:rsidP="00F65E5E">
            <w:pPr>
              <w:pStyle w:val="a7"/>
              <w:spacing w:before="0" w:after="0"/>
              <w:ind w:firstLine="417"/>
              <w:jc w:val="both"/>
              <w:rPr>
                <w:lang w:val="uk-UA"/>
              </w:rPr>
            </w:pPr>
            <w:r w:rsidRPr="00A706F6">
              <w:rPr>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7"/>
              <w:spacing w:before="0" w:after="0"/>
              <w:ind w:firstLine="601"/>
              <w:jc w:val="both"/>
              <w:rPr>
                <w:lang w:val="uk-UA"/>
              </w:rPr>
            </w:pPr>
          </w:p>
        </w:tc>
      </w:tr>
      <w:tr w:rsidR="008207DA" w:rsidRPr="00DE0837" w14:paraId="24A3D064" w14:textId="77777777" w:rsidTr="006F0F80">
        <w:trPr>
          <w:trHeight w:val="520"/>
          <w:jc w:val="center"/>
        </w:trPr>
        <w:tc>
          <w:tcPr>
            <w:tcW w:w="576" w:type="dxa"/>
          </w:tcPr>
          <w:p w14:paraId="2A86D746" w14:textId="77777777" w:rsidR="008207DA" w:rsidRPr="00DE0837" w:rsidRDefault="008207DA" w:rsidP="008207DA">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8207DA" w:rsidRPr="00DE0837" w:rsidRDefault="008207DA" w:rsidP="008207DA">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06127C73" w14:textId="77777777" w:rsidR="008207DA" w:rsidRPr="00DE0837" w:rsidRDefault="008207DA" w:rsidP="008207DA">
            <w:pPr>
              <w:pStyle w:val="rvps2"/>
              <w:shd w:val="clear" w:color="auto" w:fill="FFFFFF"/>
              <w:spacing w:before="0" w:beforeAutospacing="0" w:after="0" w:afterAutospacing="0"/>
              <w:ind w:firstLine="601"/>
              <w:jc w:val="both"/>
            </w:pPr>
            <w:r w:rsidRPr="00DE0837">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0E3CF8EF" w14:textId="77777777" w:rsidR="008207DA" w:rsidRPr="004800FD" w:rsidRDefault="008207DA" w:rsidP="008207DA">
            <w:pPr>
              <w:pStyle w:val="a7"/>
              <w:spacing w:before="0" w:after="0"/>
              <w:ind w:firstLine="601"/>
              <w:jc w:val="both"/>
              <w:rPr>
                <w:lang w:val="uk-UA"/>
              </w:rPr>
            </w:pPr>
            <w:r w:rsidRPr="00DE0837">
              <w:rPr>
                <w:lang w:val="uk-UA"/>
              </w:rPr>
              <w:t xml:space="preserve">2.2. </w:t>
            </w:r>
            <w:r w:rsidRPr="004800FD">
              <w:rPr>
                <w:lang w:val="uk-UA"/>
              </w:rPr>
              <w:t xml:space="preserve">Аномально низька ціна тендерної пропозиції (далі - аномально низька ціна) - </w:t>
            </w:r>
            <w:r w:rsidRPr="00FC3F6D">
              <w:rPr>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26A24B" w14:textId="77777777" w:rsidR="008207DA" w:rsidRDefault="008207DA" w:rsidP="008207DA">
            <w:pPr>
              <w:pStyle w:val="a7"/>
              <w:spacing w:before="0" w:after="0"/>
              <w:ind w:firstLine="601"/>
              <w:jc w:val="both"/>
              <w:rPr>
                <w:lang w:val="uk-UA"/>
              </w:rPr>
            </w:pPr>
            <w:r w:rsidRPr="00DE0837">
              <w:rPr>
                <w:lang w:val="uk-UA"/>
              </w:rPr>
              <w:t>2.</w:t>
            </w:r>
            <w:r>
              <w:rPr>
                <w:lang w:val="uk-UA"/>
              </w:rPr>
              <w:t>3</w:t>
            </w:r>
            <w:r w:rsidRPr="00DE0837">
              <w:rPr>
                <w:lang w:val="uk-UA"/>
              </w:rPr>
              <w:t xml:space="preserve">. </w:t>
            </w:r>
            <w:r w:rsidRPr="00795A5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2CFD4C" w14:textId="77777777" w:rsidR="008207DA" w:rsidRDefault="008207DA" w:rsidP="008207D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FE3595" w14:textId="77777777" w:rsidR="008207DA" w:rsidRDefault="008207DA" w:rsidP="008207D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5A8154" w14:textId="77777777" w:rsidR="008207DA" w:rsidRDefault="008207DA" w:rsidP="008207DA">
            <w:pPr>
              <w:pStyle w:val="a7"/>
              <w:spacing w:before="0" w:after="0"/>
              <w:ind w:firstLine="601"/>
              <w:jc w:val="both"/>
              <w:rPr>
                <w:lang w:val="uk-UA"/>
              </w:rPr>
            </w:pPr>
            <w:r w:rsidRPr="00E4772E">
              <w:rPr>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203214" w14:textId="77777777" w:rsidR="008207DA" w:rsidRPr="000E0A3A" w:rsidRDefault="008207DA" w:rsidP="008207DA">
            <w:pPr>
              <w:pStyle w:val="a7"/>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2E1CCF" w14:textId="77777777" w:rsidR="008207DA" w:rsidRDefault="008207DA" w:rsidP="008207DA">
            <w:pPr>
              <w:pStyle w:val="a7"/>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4913E81F" w14:textId="77777777" w:rsidR="008207DA" w:rsidRDefault="008207DA" w:rsidP="008207DA">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AA327C">
              <w:rPr>
                <w:rFonts w:ascii="Times New Roman" w:hAnsi="Times New Roman" w:cs="Times New Roman"/>
                <w:color w:val="auto"/>
                <w:sz w:val="24"/>
                <w:szCs w:val="24"/>
              </w:rPr>
              <w:t>2.4.</w:t>
            </w:r>
            <w:bookmarkStart w:id="22" w:name="n1551"/>
            <w:bookmarkEnd w:id="22"/>
            <w:r w:rsidRPr="00AA327C">
              <w:rPr>
                <w:rFonts w:ascii="Times New Roman" w:hAnsi="Times New Roman" w:cs="Times New Roman"/>
                <w:color w:val="auto"/>
                <w:sz w:val="24"/>
                <w:szCs w:val="24"/>
              </w:rPr>
              <w:t xml:space="preserve"> 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оперативно- господарських санкцій.</w:t>
            </w:r>
          </w:p>
          <w:p w14:paraId="1BBCCC93" w14:textId="77777777" w:rsidR="008207DA" w:rsidRPr="00AA327C" w:rsidRDefault="008207DA" w:rsidP="008207DA">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3500D8AD" w:rsidR="008207DA" w:rsidRPr="00DE0837" w:rsidRDefault="008207DA" w:rsidP="008207DA">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6A2580" w:rsidRPr="00DE0837" w14:paraId="03A50C07" w14:textId="77777777" w:rsidTr="006F0F80">
        <w:trPr>
          <w:trHeight w:val="520"/>
          <w:jc w:val="center"/>
        </w:trPr>
        <w:tc>
          <w:tcPr>
            <w:tcW w:w="576" w:type="dxa"/>
          </w:tcPr>
          <w:p w14:paraId="3B7E48DF" w14:textId="77777777" w:rsidR="006A2580" w:rsidRPr="00DE0837" w:rsidRDefault="006A2580" w:rsidP="006A2580">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6A2580" w:rsidRPr="00DE0837" w:rsidRDefault="006A2580" w:rsidP="006A2580">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51EEBE17" w14:textId="77777777" w:rsidR="006A2580" w:rsidRPr="000E56F9" w:rsidRDefault="006A2580" w:rsidP="006A2580">
            <w:pPr>
              <w:pStyle w:val="a7"/>
              <w:spacing w:before="0" w:after="0"/>
              <w:ind w:firstLine="601"/>
              <w:jc w:val="both"/>
              <w:rPr>
                <w:lang w:val="uk-UA"/>
              </w:rPr>
            </w:pPr>
            <w:bookmarkStart w:id="23" w:name="h.3rdcrjn" w:colFirst="0" w:colLast="0"/>
            <w:bookmarkEnd w:id="23"/>
            <w:r w:rsidRPr="00DE0837">
              <w:rPr>
                <w:lang w:val="uk-UA"/>
              </w:rPr>
              <w:t xml:space="preserve">3.1. </w:t>
            </w:r>
            <w:r w:rsidRPr="000E56F9">
              <w:rPr>
                <w:lang w:val="uk-UA"/>
              </w:rPr>
              <w:t>Замовник відхиляє тендерну пропозицію із зазначенням аргументації в електронній системі закупівель у разі, коли:</w:t>
            </w:r>
          </w:p>
          <w:p w14:paraId="4EFF6154" w14:textId="77777777" w:rsidR="006A2580" w:rsidRPr="000E56F9" w:rsidRDefault="006A2580" w:rsidP="006A2580">
            <w:pPr>
              <w:pStyle w:val="a7"/>
              <w:spacing w:before="0" w:after="0"/>
              <w:ind w:firstLine="601"/>
              <w:jc w:val="both"/>
              <w:rPr>
                <w:lang w:val="uk-UA"/>
              </w:rPr>
            </w:pPr>
            <w:r w:rsidRPr="000E56F9">
              <w:rPr>
                <w:lang w:val="uk-UA"/>
              </w:rPr>
              <w:t>1) учасник процедури закупівлі:</w:t>
            </w:r>
          </w:p>
          <w:p w14:paraId="3645BFB7" w14:textId="77777777" w:rsidR="006A2580" w:rsidRPr="000E56F9" w:rsidRDefault="006A2580" w:rsidP="006A2580">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2CD88E0C"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0ACE2F8A"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2302780F" w14:textId="77777777" w:rsidR="006A2580" w:rsidRDefault="006A2580" w:rsidP="006A2580">
            <w:pPr>
              <w:pStyle w:val="a7"/>
              <w:spacing w:before="0" w:after="0"/>
              <w:ind w:firstLine="601"/>
              <w:jc w:val="both"/>
              <w:rPr>
                <w:lang w:val="uk-UA"/>
              </w:rPr>
            </w:pPr>
            <w:r>
              <w:rPr>
                <w:lang w:val="uk-UA"/>
              </w:rPr>
              <w:lastRenderedPageBreak/>
              <w:t xml:space="preserve">- </w:t>
            </w:r>
            <w:r w:rsidRPr="000E56F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C49065"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7FE44E53"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749DCBF9" w14:textId="77777777" w:rsidR="006A2580" w:rsidRPr="000E56F9" w:rsidRDefault="006A2580" w:rsidP="006A2580">
            <w:pPr>
              <w:pStyle w:val="a7"/>
              <w:spacing w:before="0" w:after="0"/>
              <w:ind w:firstLine="601"/>
              <w:jc w:val="both"/>
              <w:rPr>
                <w:lang w:val="uk-UA"/>
              </w:rPr>
            </w:pPr>
            <w:r>
              <w:rPr>
                <w:lang w:val="uk-UA"/>
              </w:rPr>
              <w:t xml:space="preserve">- </w:t>
            </w:r>
            <w:r w:rsidRPr="000E56F9">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A6F92E" w14:textId="77777777" w:rsidR="006A2580" w:rsidRPr="000E56F9" w:rsidRDefault="006A2580" w:rsidP="006A2580">
            <w:pPr>
              <w:pStyle w:val="a7"/>
              <w:spacing w:before="0" w:after="0"/>
              <w:ind w:firstLine="601"/>
              <w:jc w:val="both"/>
              <w:rPr>
                <w:lang w:val="uk-UA"/>
              </w:rPr>
            </w:pPr>
            <w:r w:rsidRPr="000E56F9">
              <w:rPr>
                <w:lang w:val="uk-UA"/>
              </w:rPr>
              <w:t>2) тендерна пропозиція:</w:t>
            </w:r>
          </w:p>
          <w:p w14:paraId="74B23EF0" w14:textId="77777777" w:rsidR="006A2580" w:rsidRPr="000E56F9" w:rsidRDefault="006A2580" w:rsidP="006A2580">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525663C" w14:textId="77777777" w:rsidR="006A2580" w:rsidRPr="000E56F9" w:rsidRDefault="006A2580" w:rsidP="006A2580">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36CFFF1D" w14:textId="77777777" w:rsidR="006A2580" w:rsidRDefault="006A2580" w:rsidP="006A2580">
            <w:pPr>
              <w:pStyle w:val="a7"/>
              <w:spacing w:before="0" w:after="0"/>
              <w:ind w:firstLine="601"/>
              <w:jc w:val="both"/>
              <w:rPr>
                <w:lang w:val="uk-UA"/>
              </w:rPr>
            </w:pPr>
            <w:r>
              <w:rPr>
                <w:lang w:val="uk-UA"/>
              </w:rPr>
              <w:lastRenderedPageBreak/>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7AC3FD"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54BDB38D" w14:textId="77777777" w:rsidR="006A2580" w:rsidRDefault="006A2580" w:rsidP="006A2580">
            <w:pPr>
              <w:pStyle w:val="a7"/>
              <w:spacing w:before="0" w:after="0"/>
              <w:ind w:firstLine="601"/>
              <w:jc w:val="both"/>
              <w:rPr>
                <w:lang w:val="uk-UA"/>
              </w:rPr>
            </w:pPr>
            <w:r w:rsidRPr="000E56F9">
              <w:rPr>
                <w:lang w:val="uk-UA"/>
              </w:rPr>
              <w:t>3) переможець процедури закупівлі:</w:t>
            </w:r>
          </w:p>
          <w:p w14:paraId="0C9DFE9E"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43DB76F"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6EB2F477" w14:textId="77777777" w:rsidR="006A2580" w:rsidRPr="000E56F9" w:rsidRDefault="006A2580" w:rsidP="006A2580">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62595C95" w14:textId="77777777" w:rsidR="006A2580" w:rsidRDefault="006A2580" w:rsidP="006A2580">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1941BAF0" w14:textId="77777777" w:rsidR="006A2580" w:rsidRDefault="006A2580" w:rsidP="006A2580">
            <w:pPr>
              <w:pStyle w:val="a7"/>
              <w:spacing w:before="0" w:after="0"/>
              <w:ind w:firstLine="601"/>
              <w:jc w:val="both"/>
              <w:rPr>
                <w:lang w:val="uk-UA"/>
              </w:rPr>
            </w:pPr>
            <w:r w:rsidRPr="000E56F9">
              <w:rPr>
                <w:lang w:val="uk-UA"/>
              </w:rPr>
              <w:t>Замовник може відхилити тендерну пропозицію із зазначенням аргументації в електронній системі закупівель у разі, коли:</w:t>
            </w:r>
          </w:p>
          <w:p w14:paraId="09AD57DE" w14:textId="77777777" w:rsidR="006A2580" w:rsidRPr="000E56F9" w:rsidRDefault="006A2580" w:rsidP="006A2580">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10887C" w14:textId="77777777" w:rsidR="006A2580" w:rsidRDefault="006A2580" w:rsidP="006A2580">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50D6A9" w14:textId="77777777" w:rsidR="006A2580" w:rsidRDefault="006A2580" w:rsidP="006A2580">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37326">
              <w:rPr>
                <w:lang w:val="uk-UA"/>
              </w:rPr>
              <w:lastRenderedPageBreak/>
              <w:t>тендерна пропозиція якого відхилена, через електронну систему закупівель.</w:t>
            </w:r>
          </w:p>
          <w:p w14:paraId="0347F487" w14:textId="77777777" w:rsidR="006A2580" w:rsidRPr="00632631" w:rsidRDefault="006A2580" w:rsidP="006A2580">
            <w:pPr>
              <w:pStyle w:val="a7"/>
              <w:spacing w:before="0" w:after="0"/>
              <w:ind w:firstLine="601"/>
              <w:jc w:val="both"/>
              <w:rPr>
                <w:lang w:val="uk-UA"/>
              </w:rPr>
            </w:pPr>
            <w:r w:rsidRPr="00632631">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4" w:name="n1478"/>
            <w:bookmarkEnd w:id="24"/>
          </w:p>
          <w:p w14:paraId="7A7C9E6E" w14:textId="77777777" w:rsidR="006A2580" w:rsidRPr="00632631" w:rsidRDefault="006A2580" w:rsidP="006A2580">
            <w:pPr>
              <w:pStyle w:val="a7"/>
              <w:spacing w:before="0" w:after="0"/>
              <w:ind w:firstLine="601"/>
              <w:jc w:val="both"/>
              <w:rPr>
                <w:lang w:val="uk-UA"/>
              </w:rPr>
            </w:pPr>
            <w:r w:rsidRPr="00632631">
              <w:rPr>
                <w:lang w:val="uk-UA"/>
              </w:rPr>
              <w:t>3.2.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19D6D56E" w:rsidR="006A2580" w:rsidRPr="00DE0837" w:rsidRDefault="006A2580" w:rsidP="006A2580">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632631">
              <w:rPr>
                <w:rFonts w:ascii="Times New Roman" w:hAnsi="Times New Roman" w:cs="Times New Roman"/>
                <w:color w:val="auto"/>
                <w:sz w:val="24"/>
                <w:szCs w:val="24"/>
              </w:rPr>
              <w:t>3.3. У разі відмови переможця процедури</w:t>
            </w:r>
            <w:r w:rsidRPr="000C3817">
              <w:rPr>
                <w:rFonts w:ascii="Times New Roman" w:hAnsi="Times New Roman" w:cs="Times New Roman"/>
                <w:color w:val="auto"/>
                <w:sz w:val="24"/>
                <w:szCs w:val="24"/>
              </w:rPr>
              <w:t xml:space="preserve">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7"/>
              <w:spacing w:before="0" w:after="0"/>
              <w:ind w:firstLine="601"/>
              <w:jc w:val="both"/>
              <w:rPr>
                <w:b/>
                <w:u w:val="single"/>
                <w:lang w:val="uk-UA"/>
              </w:rPr>
            </w:pPr>
            <w:bookmarkStart w:id="25" w:name="h.z337ya" w:colFirst="0" w:colLast="0"/>
            <w:bookmarkEnd w:id="25"/>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7"/>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7"/>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DB6EE" w14:textId="77777777" w:rsidR="00C26325" w:rsidRPr="00C26325" w:rsidRDefault="00C26325" w:rsidP="00C26325">
            <w:pPr>
              <w:pStyle w:val="a7"/>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7"/>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7"/>
              <w:spacing w:before="0" w:after="0"/>
              <w:ind w:firstLine="601"/>
              <w:jc w:val="both"/>
              <w:rPr>
                <w:lang w:val="uk-UA"/>
              </w:rPr>
            </w:pPr>
            <w:r w:rsidRPr="00C2632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03BB04" w14:textId="77777777" w:rsidR="00C26325" w:rsidRDefault="00C26325" w:rsidP="00C26325">
            <w:pPr>
              <w:pStyle w:val="a7"/>
              <w:spacing w:before="0" w:after="0"/>
              <w:ind w:firstLine="601"/>
              <w:jc w:val="both"/>
              <w:rPr>
                <w:lang w:val="uk-UA"/>
              </w:rPr>
            </w:pPr>
          </w:p>
          <w:p w14:paraId="1E2A2826" w14:textId="77777777" w:rsidR="00FD7C0D" w:rsidRPr="00DE0837" w:rsidRDefault="00FD7C0D" w:rsidP="00C26325">
            <w:pPr>
              <w:pStyle w:val="a7"/>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14:paraId="52530D46" w14:textId="77777777" w:rsidR="00C26325" w:rsidRPr="00426DE1" w:rsidRDefault="00C26325" w:rsidP="00C26325">
            <w:pPr>
              <w:pStyle w:val="a7"/>
              <w:spacing w:before="0" w:after="0"/>
              <w:ind w:firstLine="601"/>
              <w:jc w:val="both"/>
              <w:rPr>
                <w:lang w:val="uk-UA"/>
              </w:rPr>
            </w:pPr>
            <w:r w:rsidRPr="00426DE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11D9B" w14:textId="77777777" w:rsidR="00C26325" w:rsidRPr="00426DE1" w:rsidRDefault="00C26325" w:rsidP="00C26325">
            <w:pPr>
              <w:pStyle w:val="a7"/>
              <w:spacing w:before="0" w:after="0"/>
              <w:ind w:firstLine="601"/>
              <w:jc w:val="both"/>
              <w:rPr>
                <w:lang w:val="uk-UA"/>
              </w:rPr>
            </w:pPr>
            <w:bookmarkStart w:id="26" w:name="n181"/>
            <w:bookmarkEnd w:id="26"/>
            <w:r w:rsidRPr="00426DE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249A1B9" w14:textId="77777777" w:rsidR="00C26325" w:rsidRPr="00426DE1" w:rsidRDefault="00C26325" w:rsidP="00C26325">
            <w:pPr>
              <w:pStyle w:val="a7"/>
              <w:spacing w:before="0" w:after="0"/>
              <w:ind w:firstLine="601"/>
              <w:jc w:val="both"/>
              <w:rPr>
                <w:lang w:val="uk-UA"/>
              </w:rPr>
            </w:pPr>
            <w:bookmarkStart w:id="27" w:name="n182"/>
            <w:bookmarkEnd w:id="27"/>
            <w:r w:rsidRPr="00426DE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CDE497" w14:textId="77777777" w:rsidR="00FD7C0D" w:rsidRPr="00426DE1" w:rsidRDefault="00FD7C0D" w:rsidP="00C26325">
            <w:pPr>
              <w:pStyle w:val="a7"/>
              <w:spacing w:before="0" w:after="0"/>
              <w:ind w:firstLine="601"/>
              <w:jc w:val="both"/>
              <w:rPr>
                <w:lang w:val="uk-UA"/>
              </w:rPr>
            </w:pPr>
            <w:r w:rsidRPr="00426DE1">
              <w:rPr>
                <w:lang w:val="uk-UA"/>
              </w:rPr>
              <w:t>1.</w:t>
            </w:r>
            <w:r w:rsidR="00C26325" w:rsidRPr="00426DE1">
              <w:rPr>
                <w:lang w:val="uk-UA"/>
              </w:rPr>
              <w:t>3.</w:t>
            </w:r>
            <w:r w:rsidRPr="00426DE1">
              <w:rPr>
                <w:lang w:val="uk-UA"/>
              </w:rPr>
              <w:t xml:space="preserve"> </w:t>
            </w:r>
            <w:r w:rsidR="00C26325" w:rsidRPr="00426DE1">
              <w:rPr>
                <w:lang w:val="uk-UA"/>
              </w:rPr>
              <w:t>Відкриті торги можуть бути відмінені частково (за лотом)</w:t>
            </w:r>
            <w:r w:rsidRPr="00426DE1">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7"/>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34FFD6" w14:textId="77777777" w:rsidR="003A66F3" w:rsidRPr="003A66F3" w:rsidRDefault="003A66F3" w:rsidP="003A66F3">
            <w:pPr>
              <w:pStyle w:val="a7"/>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7"/>
              <w:spacing w:before="0" w:after="0"/>
              <w:ind w:firstLine="601"/>
              <w:jc w:val="both"/>
              <w:rPr>
                <w:lang w:val="uk-UA"/>
              </w:rPr>
            </w:pPr>
            <w:r w:rsidRPr="003A66F3">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B2B2E5E" w14:textId="77777777" w:rsidR="006A6C13" w:rsidRDefault="006A6C13" w:rsidP="006A6C1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77777777" w:rsidR="00581AEF" w:rsidRPr="003A66F3" w:rsidRDefault="003A66F3" w:rsidP="003A66F3">
            <w:pPr>
              <w:pStyle w:val="a7"/>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14:paraId="5A2A1BD5" w14:textId="77777777"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F5578A"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Default="00485682" w:rsidP="000D171F">
            <w:pPr>
              <w:pStyle w:val="rvps2"/>
              <w:shd w:val="clear" w:color="auto" w:fill="FFFFFF"/>
              <w:spacing w:before="0" w:beforeAutospacing="0" w:after="0" w:afterAutospacing="0"/>
              <w:ind w:firstLine="450"/>
              <w:jc w:val="both"/>
              <w:rPr>
                <w:color w:val="333333"/>
              </w:rPr>
            </w:pPr>
            <w:r w:rsidRPr="00DE0837">
              <w:t xml:space="preserve">4.1. </w:t>
            </w:r>
            <w:r w:rsidR="000D171F">
              <w:rPr>
                <w:color w:val="333333"/>
              </w:rPr>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28" w:name="n59"/>
            <w:bookmarkEnd w:id="28"/>
            <w:r>
              <w:rPr>
                <w:color w:val="333333"/>
              </w:rPr>
              <w:t>визначення грошового еквівалента зобов’язання в іноземній валюті;</w:t>
            </w:r>
          </w:p>
          <w:p w14:paraId="57325AF6"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29" w:name="n60"/>
            <w:bookmarkEnd w:id="29"/>
            <w:r>
              <w:rPr>
                <w:color w:val="333333"/>
              </w:rPr>
              <w:t>перерахунку ціни в бік зменшення ціни тендерної пропозиції переможця без зменшення обсягів закупівлі;</w:t>
            </w:r>
          </w:p>
          <w:p w14:paraId="41D88275" w14:textId="5B93A968" w:rsidR="000D171F" w:rsidRDefault="000D171F" w:rsidP="000D171F">
            <w:pPr>
              <w:pStyle w:val="rvps2"/>
              <w:shd w:val="clear" w:color="auto" w:fill="FFFFFF"/>
              <w:spacing w:before="0" w:beforeAutospacing="0" w:after="150" w:afterAutospacing="0"/>
              <w:ind w:firstLine="450"/>
              <w:jc w:val="both"/>
              <w:rPr>
                <w:color w:val="333333"/>
              </w:rPr>
            </w:pPr>
            <w:bookmarkStart w:id="30" w:name="n61"/>
            <w:bookmarkEnd w:id="30"/>
            <w:r>
              <w:rPr>
                <w:color w:val="333333"/>
              </w:rPr>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A4FB2">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31" w:name="n1769"/>
            <w:bookmarkEnd w:id="31"/>
          </w:p>
          <w:p w14:paraId="47FCF288" w14:textId="77777777" w:rsidR="00017EBB" w:rsidRDefault="00017EBB" w:rsidP="009A5323">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DF1276B"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32" w:name="n75"/>
            <w:bookmarkEnd w:id="32"/>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Pr>
                <w:color w:val="333333"/>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820FCF"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33" w:name="n76"/>
            <w:bookmarkEnd w:id="3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34" w:name="n77"/>
            <w:bookmarkEnd w:id="34"/>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r w:rsidRPr="009A5323">
              <w:rPr>
                <w:rFonts w:ascii="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50219BF"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35" w:name="n79"/>
            <w:bookmarkEnd w:id="35"/>
            <w:r w:rsidRPr="009A5323">
              <w:rPr>
                <w:rFonts w:ascii="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28FE0"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36" w:name="n80"/>
            <w:bookmarkEnd w:id="36"/>
            <w:r w:rsidRPr="009A5323">
              <w:rPr>
                <w:rFonts w:ascii="Times New Roman" w:hAnsi="Times New Roman" w:cs="Times New Roman"/>
                <w:color w:val="333333"/>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1B212446" w:rsidR="008A4FB2"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37" w:name="n81"/>
            <w:bookmarkEnd w:id="37"/>
            <w:r w:rsidRPr="009A5323">
              <w:rPr>
                <w:rFonts w:ascii="Times New Roman" w:hAnsi="Times New Roman" w:cs="Times New Roman"/>
                <w:color w:val="333333"/>
                <w:sz w:val="24"/>
                <w:szCs w:val="24"/>
                <w:lang w:eastAsia="uk-UA"/>
              </w:rPr>
              <w:t xml:space="preserve">8) зміни умов у зв’язку із застосуванням </w:t>
            </w:r>
            <w:r w:rsidRPr="00725523">
              <w:rPr>
                <w:rFonts w:ascii="Times New Roman" w:hAnsi="Times New Roman" w:cs="Times New Roman"/>
                <w:color w:val="000000" w:themeColor="text1"/>
                <w:sz w:val="24"/>
                <w:szCs w:val="24"/>
                <w:lang w:eastAsia="uk-UA"/>
              </w:rPr>
              <w:t>положень </w:t>
            </w:r>
            <w:hyperlink r:id="rId8" w:anchor="n1778" w:tgtFrame="_blank" w:history="1">
              <w:r w:rsidRPr="00725523">
                <w:rPr>
                  <w:rFonts w:ascii="Times New Roman" w:hAnsi="Times New Roman" w:cs="Times New Roman"/>
                  <w:color w:val="000000" w:themeColor="text1"/>
                  <w:sz w:val="24"/>
                  <w:szCs w:val="24"/>
                  <w:lang w:eastAsia="uk-UA"/>
                </w:rPr>
                <w:t>частини шостої</w:t>
              </w:r>
            </w:hyperlink>
            <w:r w:rsidRPr="00725523">
              <w:rPr>
                <w:rFonts w:ascii="Times New Roman" w:hAnsi="Times New Roman" w:cs="Times New Roman"/>
                <w:color w:val="000000" w:themeColor="text1"/>
                <w:sz w:val="24"/>
                <w:szCs w:val="24"/>
                <w:lang w:eastAsia="uk-UA"/>
              </w:rPr>
              <w:t> </w:t>
            </w:r>
            <w:r w:rsidRPr="009A5323">
              <w:rPr>
                <w:rFonts w:ascii="Times New Roman" w:hAnsi="Times New Roman" w:cs="Times New Roman"/>
                <w:color w:val="333333"/>
                <w:sz w:val="24"/>
                <w:szCs w:val="24"/>
                <w:lang w:eastAsia="uk-UA"/>
              </w:rPr>
              <w:t>статті 41 Закону</w:t>
            </w:r>
            <w:bookmarkStart w:id="38" w:name="n1777"/>
            <w:bookmarkStart w:id="39" w:name="n1778"/>
            <w:bookmarkEnd w:id="38"/>
            <w:bookmarkEnd w:id="39"/>
            <w:r w:rsidR="000C6CA0">
              <w:rPr>
                <w:rFonts w:ascii="Times New Roman" w:hAnsi="Times New Roman" w:cs="Times New Roman"/>
                <w:color w:val="333333"/>
                <w:sz w:val="24"/>
                <w:szCs w:val="24"/>
                <w:lang w:eastAsia="uk-UA"/>
              </w:rPr>
              <w:t>;</w:t>
            </w:r>
          </w:p>
          <w:p w14:paraId="503E3390" w14:textId="77777777" w:rsidR="000C6CA0" w:rsidRPr="000C6CA0" w:rsidRDefault="000C6CA0" w:rsidP="000C6CA0">
            <w:pPr>
              <w:shd w:val="clear" w:color="auto" w:fill="FFFFFF"/>
              <w:spacing w:line="240" w:lineRule="auto"/>
              <w:ind w:firstLine="450"/>
              <w:jc w:val="both"/>
              <w:rPr>
                <w:rFonts w:ascii="Times New Roman" w:hAnsi="Times New Roman" w:cs="Times New Roman"/>
                <w:color w:val="333333"/>
                <w:sz w:val="24"/>
                <w:szCs w:val="24"/>
                <w:lang w:eastAsia="uk-UA"/>
              </w:rPr>
            </w:pPr>
            <w:r w:rsidRPr="000C6CA0">
              <w:rPr>
                <w:rFonts w:ascii="Times New Roman" w:hAnsi="Times New Roman" w:cs="Times New Roman"/>
                <w:color w:val="33333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9E2926F" w14:textId="77777777" w:rsidR="009E20BF" w:rsidRPr="00DE0837" w:rsidRDefault="009E20BF" w:rsidP="008A4FB2">
            <w:pPr>
              <w:pStyle w:val="rvps2"/>
              <w:shd w:val="clear" w:color="auto" w:fill="FFFFFF"/>
              <w:spacing w:before="0" w:beforeAutospacing="0" w:after="0" w:afterAutospacing="0"/>
              <w:ind w:firstLine="601"/>
              <w:jc w:val="both"/>
            </w:pPr>
            <w:r w:rsidRPr="00DE0837">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DE0837">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40" w:name="n1776"/>
            <w:bookmarkStart w:id="41" w:name="n576"/>
            <w:bookmarkStart w:id="42" w:name="n577"/>
            <w:bookmarkEnd w:id="40"/>
            <w:bookmarkEnd w:id="41"/>
            <w:bookmarkEnd w:id="42"/>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43" w:name="n579"/>
            <w:bookmarkStart w:id="44" w:name="n578"/>
            <w:bookmarkEnd w:id="43"/>
            <w:bookmarkEnd w:id="44"/>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33281849" w:rsidR="00FE1C7D" w:rsidRDefault="00876171" w:rsidP="00FE1C7D">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9877D4" w:rsidRPr="009877D4">
              <w:rPr>
                <w:rFonts w:ascii="Times New Roman" w:hAnsi="Times New Roman" w:cs="Times New Roman"/>
                <w:sz w:val="24"/>
                <w:szCs w:val="24"/>
              </w:rPr>
              <w:t xml:space="preserve">ДК 021:2015:09130000:9 Нафта і дистиляти  </w:t>
            </w:r>
            <w:r w:rsidR="00FE1C7D">
              <w:rPr>
                <w:rFonts w:ascii="Times New Roman" w:hAnsi="Times New Roman" w:cs="Times New Roman"/>
                <w:sz w:val="24"/>
                <w:szCs w:val="24"/>
              </w:rPr>
              <w:t>(</w:t>
            </w:r>
            <w:r w:rsidR="00DD1EA5">
              <w:rPr>
                <w:rFonts w:ascii="Times New Roman" w:hAnsi="Times New Roman" w:cs="Times New Roman"/>
                <w:sz w:val="24"/>
                <w:szCs w:val="24"/>
              </w:rPr>
              <w:t>Дизельне паливо</w:t>
            </w:r>
            <w:r w:rsidR="009B28EA">
              <w:rPr>
                <w:rFonts w:ascii="Times New Roman" w:hAnsi="Times New Roman" w:cs="Times New Roman"/>
                <w:sz w:val="24"/>
                <w:szCs w:val="24"/>
              </w:rPr>
              <w:t>, Бензин А95</w:t>
            </w:r>
            <w:r w:rsidR="00DD1EA5">
              <w:rPr>
                <w:rFonts w:ascii="Times New Roman" w:hAnsi="Times New Roman" w:cs="Times New Roman"/>
                <w:sz w:val="24"/>
                <w:szCs w:val="24"/>
              </w:rPr>
              <w:t xml:space="preserve"> </w:t>
            </w:r>
            <w:r w:rsidR="00DD1EA5" w:rsidRPr="00DD1EA5">
              <w:rPr>
                <w:rFonts w:ascii="Times New Roman" w:hAnsi="Times New Roman" w:cs="Times New Roman"/>
                <w:sz w:val="24"/>
                <w:szCs w:val="24"/>
              </w:rPr>
              <w:t>– по бланках дозволів (талонах) через АЗС)</w:t>
            </w:r>
            <w:r w:rsidR="00FE1C7D">
              <w:rPr>
                <w:rFonts w:ascii="Times New Roman" w:hAnsi="Times New Roman" w:cs="Times New Roman"/>
                <w:sz w:val="24"/>
                <w:szCs w:val="24"/>
              </w:rPr>
              <w:t>)</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p w14:paraId="0061F098" w14:textId="2DEE5248" w:rsidR="009B28EA" w:rsidRPr="009B28EA" w:rsidRDefault="009B28EA" w:rsidP="009B28EA">
            <w:pPr>
              <w:spacing w:line="240" w:lineRule="auto"/>
              <w:jc w:val="both"/>
              <w:rPr>
                <w:rFonts w:ascii="Times New Roman" w:hAnsi="Times New Roman" w:cs="Times New Roman"/>
                <w:color w:val="1F497D" w:themeColor="text2"/>
                <w:sz w:val="24"/>
                <w:szCs w:val="24"/>
              </w:rPr>
            </w:pPr>
            <w:r w:rsidRPr="009B28EA">
              <w:rPr>
                <w:rFonts w:ascii="Times New Roman" w:hAnsi="Times New Roman" w:cs="Times New Roman"/>
                <w:color w:val="1F497D" w:themeColor="text2"/>
                <w:sz w:val="24"/>
                <w:szCs w:val="24"/>
              </w:rPr>
              <w:t xml:space="preserve">Дизельне паливо – </w:t>
            </w:r>
            <w:r w:rsidR="000B5E16">
              <w:rPr>
                <w:rFonts w:ascii="Times New Roman" w:hAnsi="Times New Roman" w:cs="Times New Roman"/>
                <w:color w:val="1F497D" w:themeColor="text2"/>
                <w:sz w:val="24"/>
                <w:szCs w:val="24"/>
              </w:rPr>
              <w:t>53160</w:t>
            </w:r>
            <w:r w:rsidRPr="009B28EA">
              <w:rPr>
                <w:rFonts w:ascii="Times New Roman" w:hAnsi="Times New Roman" w:cs="Times New Roman"/>
                <w:color w:val="1F497D" w:themeColor="text2"/>
                <w:sz w:val="24"/>
                <w:szCs w:val="24"/>
              </w:rPr>
              <w:t xml:space="preserve"> літрів</w:t>
            </w:r>
          </w:p>
          <w:p w14:paraId="1AEDA62D" w14:textId="38075E68" w:rsidR="00FE1C7D" w:rsidRPr="009B28EA" w:rsidRDefault="009B28EA" w:rsidP="009B28EA">
            <w:pPr>
              <w:spacing w:line="240" w:lineRule="auto"/>
              <w:jc w:val="both"/>
              <w:rPr>
                <w:rFonts w:ascii="Times New Roman" w:hAnsi="Times New Roman" w:cs="Times New Roman"/>
                <w:color w:val="1F497D" w:themeColor="text2"/>
                <w:sz w:val="24"/>
                <w:szCs w:val="24"/>
              </w:rPr>
            </w:pPr>
            <w:r w:rsidRPr="009B28EA">
              <w:rPr>
                <w:rFonts w:ascii="Times New Roman" w:hAnsi="Times New Roman" w:cs="Times New Roman"/>
                <w:color w:val="1F497D" w:themeColor="text2"/>
                <w:sz w:val="24"/>
                <w:szCs w:val="24"/>
              </w:rPr>
              <w:t xml:space="preserve">Бензин А95 – </w:t>
            </w:r>
            <w:r w:rsidR="000B5E16">
              <w:rPr>
                <w:rFonts w:ascii="Times New Roman" w:hAnsi="Times New Roman" w:cs="Times New Roman"/>
                <w:color w:val="1F497D" w:themeColor="text2"/>
                <w:sz w:val="24"/>
                <w:szCs w:val="24"/>
              </w:rPr>
              <w:t>25500</w:t>
            </w:r>
            <w:r w:rsidRPr="009B28EA">
              <w:rPr>
                <w:rFonts w:ascii="Times New Roman" w:hAnsi="Times New Roman" w:cs="Times New Roman"/>
                <w:color w:val="1F497D" w:themeColor="text2"/>
                <w:sz w:val="24"/>
                <w:szCs w:val="24"/>
              </w:rPr>
              <w:t xml:space="preserve"> літрів</w:t>
            </w:r>
          </w:p>
          <w:p w14:paraId="2A0CCD76" w14:textId="77777777" w:rsidR="00B9439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оплати:</w:t>
            </w:r>
            <w:r w:rsidRPr="00DE0837">
              <w:rPr>
                <w:rFonts w:ascii="Times New Roman" w:hAnsi="Times New Roman" w:cs="Times New Roman"/>
                <w:color w:val="auto"/>
                <w:sz w:val="24"/>
                <w:szCs w:val="24"/>
              </w:rPr>
              <w:t xml:space="preserve">  </w:t>
            </w:r>
          </w:p>
          <w:p w14:paraId="4832FBC9" w14:textId="6C3A9C85" w:rsidR="00B94391" w:rsidRPr="00DE0837" w:rsidRDefault="00B94391" w:rsidP="008A4FB2">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Розрахунки за Товар (партію тoвapy) Покупець здійснює по фа</w:t>
            </w:r>
            <w:r w:rsidR="00DD1EA5">
              <w:rPr>
                <w:rFonts w:ascii="Times New Roman" w:hAnsi="Times New Roman" w:cs="Times New Roman"/>
                <w:sz w:val="24"/>
                <w:szCs w:val="24"/>
              </w:rPr>
              <w:t>кту поставки Товару на протязі 2</w:t>
            </w:r>
            <w:r w:rsidR="009877D4" w:rsidRPr="009877D4">
              <w:rPr>
                <w:rFonts w:ascii="Times New Roman" w:hAnsi="Times New Roman" w:cs="Times New Roman"/>
                <w:sz w:val="24"/>
                <w:szCs w:val="24"/>
              </w:rPr>
              <w:t>0 банківських днів згідно накладної.</w:t>
            </w:r>
          </w:p>
          <w:p w14:paraId="66F238A4" w14:textId="77777777" w:rsidR="00876171" w:rsidRPr="00DE0837" w:rsidRDefault="00B1604B"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sz w:val="24"/>
                <w:szCs w:val="24"/>
              </w:rPr>
              <w:t>-</w:t>
            </w:r>
            <w:r w:rsidR="00876171" w:rsidRPr="00DE0837">
              <w:rPr>
                <w:rFonts w:ascii="Times New Roman" w:hAnsi="Times New Roman" w:cs="Times New Roman"/>
                <w:b/>
                <w:color w:val="auto"/>
                <w:sz w:val="24"/>
                <w:szCs w:val="24"/>
              </w:rPr>
              <w:t xml:space="preserve"> </w:t>
            </w:r>
            <w:r w:rsidR="00876171" w:rsidRPr="00DE0837">
              <w:rPr>
                <w:rFonts w:ascii="Times New Roman" w:hAnsi="Times New Roman" w:cs="Times New Roman"/>
                <w:b/>
                <w:color w:val="auto"/>
                <w:sz w:val="24"/>
                <w:szCs w:val="24"/>
                <w:u w:val="single"/>
              </w:rPr>
              <w:t xml:space="preserve">ціна пропозиції </w:t>
            </w:r>
            <w:r w:rsidR="00876171" w:rsidRPr="00DE0837">
              <w:rPr>
                <w:rFonts w:ascii="Times New Roman" w:hAnsi="Times New Roman" w:cs="Times New Roman"/>
                <w:color w:val="auto"/>
                <w:sz w:val="24"/>
                <w:szCs w:val="24"/>
              </w:rPr>
              <w:t xml:space="preserve">: </w:t>
            </w:r>
          </w:p>
          <w:p w14:paraId="7573D79F" w14:textId="6E54E9BA" w:rsidR="0094403F" w:rsidRDefault="008A46F5" w:rsidP="008A4FB2">
            <w:pPr>
              <w:spacing w:line="240" w:lineRule="auto"/>
              <w:ind w:left="57" w:firstLine="544"/>
              <w:jc w:val="both"/>
              <w:rPr>
                <w:rFonts w:ascii="Times New Roman" w:hAnsi="Times New Roman" w:cs="Times New Roman"/>
                <w:color w:val="auto"/>
                <w:sz w:val="24"/>
                <w:szCs w:val="24"/>
              </w:rPr>
            </w:pPr>
            <w:r w:rsidRPr="00DE0837">
              <w:rPr>
                <w:rFonts w:ascii="Times New Roman" w:hAnsi="Times New Roman" w:cs="Times New Roman"/>
                <w:color w:val="auto"/>
              </w:rPr>
              <w:t xml:space="preserve">- </w:t>
            </w:r>
            <w:r w:rsidR="00BA1AEC">
              <w:rPr>
                <w:rFonts w:ascii="Times New Roman" w:hAnsi="Times New Roman" w:cs="Times New Roman"/>
                <w:color w:val="auto"/>
                <w:sz w:val="24"/>
                <w:szCs w:val="24"/>
              </w:rPr>
              <w:t>ц</w:t>
            </w:r>
            <w:r w:rsidR="00BA1AEC" w:rsidRPr="00BA1AEC">
              <w:rPr>
                <w:rFonts w:ascii="Times New Roman" w:hAnsi="Times New Roman" w:cs="Times New Roman"/>
                <w:color w:val="auto"/>
                <w:sz w:val="24"/>
                <w:szCs w:val="24"/>
              </w:rPr>
              <w:t xml:space="preserve">іна </w:t>
            </w:r>
            <w:r w:rsidR="00BA1AEC">
              <w:rPr>
                <w:rFonts w:ascii="Times New Roman" w:hAnsi="Times New Roman" w:cs="Times New Roman"/>
                <w:color w:val="auto"/>
                <w:sz w:val="24"/>
                <w:szCs w:val="24"/>
              </w:rPr>
              <w:t>пропозиції</w:t>
            </w:r>
            <w:r w:rsidR="00BA1AEC" w:rsidRPr="00BA1AEC">
              <w:rPr>
                <w:rFonts w:ascii="Times New Roman" w:hAnsi="Times New Roman" w:cs="Times New Roman"/>
                <w:color w:val="auto"/>
                <w:sz w:val="24"/>
                <w:szCs w:val="24"/>
              </w:rPr>
              <w:t xml:space="preserve"> встановлюється в національній валюті України, з урахуванням ПДВ. В ціну включаються всі витрати </w:t>
            </w:r>
            <w:r w:rsidR="00BA1AEC">
              <w:rPr>
                <w:rFonts w:ascii="Times New Roman" w:hAnsi="Times New Roman" w:cs="Times New Roman"/>
                <w:color w:val="auto"/>
                <w:sz w:val="24"/>
                <w:szCs w:val="24"/>
              </w:rPr>
              <w:t>Учасника</w:t>
            </w:r>
            <w:r w:rsidR="00BA1AEC" w:rsidRPr="00BA1AEC">
              <w:rPr>
                <w:rFonts w:ascii="Times New Roman" w:hAnsi="Times New Roman" w:cs="Times New Roman"/>
                <w:color w:val="auto"/>
                <w:sz w:val="24"/>
                <w:szCs w:val="24"/>
              </w:rPr>
              <w:t>, пов’язані з виконанням Договору, в т.ч. сплату податків i зборів (обов’язкових платежів) тощо.</w:t>
            </w:r>
            <w:bookmarkStart w:id="45" w:name="_Hlk129594321"/>
          </w:p>
          <w:bookmarkEnd w:id="45"/>
          <w:p w14:paraId="7823EC1D" w14:textId="30FF9A29" w:rsidR="00876171" w:rsidRPr="00DE0837" w:rsidRDefault="00876171" w:rsidP="008A4FB2">
            <w:pPr>
              <w:spacing w:line="240" w:lineRule="auto"/>
              <w:ind w:firstLine="601"/>
              <w:jc w:val="both"/>
              <w:rPr>
                <w:rFonts w:ascii="Times New Roman" w:hAnsi="Times New Roman" w:cs="Times New Roman"/>
                <w:b/>
                <w:bCs/>
                <w:color w:val="auto"/>
                <w:sz w:val="24"/>
                <w:szCs w:val="24"/>
                <w:u w:val="single"/>
              </w:rPr>
            </w:pPr>
            <w:r w:rsidRPr="00DE0837">
              <w:rPr>
                <w:rFonts w:ascii="Times New Roman" w:hAnsi="Times New Roman" w:cs="Times New Roman"/>
                <w:color w:val="auto"/>
                <w:sz w:val="24"/>
                <w:szCs w:val="24"/>
              </w:rPr>
              <w:t>-</w:t>
            </w:r>
            <w:r w:rsidRPr="00DE0837">
              <w:rPr>
                <w:rFonts w:ascii="Times New Roman" w:hAnsi="Times New Roman" w:cs="Times New Roman"/>
                <w:b/>
                <w:color w:val="auto"/>
                <w:sz w:val="24"/>
                <w:szCs w:val="24"/>
              </w:rPr>
              <w:t xml:space="preserve"> </w:t>
            </w:r>
            <w:r w:rsidRPr="00DE0837">
              <w:rPr>
                <w:rFonts w:ascii="Times New Roman" w:hAnsi="Times New Roman" w:cs="Times New Roman"/>
                <w:b/>
                <w:color w:val="auto"/>
                <w:sz w:val="24"/>
                <w:szCs w:val="24"/>
                <w:u w:val="single"/>
              </w:rPr>
              <w:t>ст</w:t>
            </w:r>
            <w:r w:rsidRPr="00DE0837">
              <w:rPr>
                <w:rFonts w:ascii="Times New Roman" w:hAnsi="Times New Roman" w:cs="Times New Roman"/>
                <w:b/>
                <w:bCs/>
                <w:color w:val="auto"/>
                <w:sz w:val="24"/>
                <w:szCs w:val="24"/>
                <w:u w:val="single"/>
              </w:rPr>
              <w:t xml:space="preserve">рок (термін) </w:t>
            </w:r>
            <w:r w:rsidR="000B2BC1">
              <w:rPr>
                <w:rFonts w:ascii="Times New Roman" w:hAnsi="Times New Roman" w:cs="Times New Roman"/>
                <w:b/>
                <w:bCs/>
                <w:color w:val="auto"/>
                <w:sz w:val="24"/>
                <w:szCs w:val="24"/>
                <w:u w:val="single"/>
              </w:rPr>
              <w:t>поставки товару</w:t>
            </w:r>
            <w:r w:rsidRPr="00DE0837">
              <w:rPr>
                <w:rFonts w:ascii="Times New Roman" w:hAnsi="Times New Roman" w:cs="Times New Roman"/>
                <w:b/>
                <w:bCs/>
                <w:color w:val="auto"/>
                <w:sz w:val="24"/>
                <w:szCs w:val="24"/>
                <w:u w:val="single"/>
              </w:rPr>
              <w:t>:</w:t>
            </w:r>
          </w:p>
          <w:p w14:paraId="15261065" w14:textId="01EA207C" w:rsidR="00BB61FB" w:rsidRPr="00DE0837" w:rsidRDefault="00BB61FB" w:rsidP="008A4FB2">
            <w:pPr>
              <w:spacing w:line="240" w:lineRule="auto"/>
              <w:ind w:firstLine="601"/>
              <w:jc w:val="both"/>
              <w:rPr>
                <w:rFonts w:ascii="Times New Roman" w:hAnsi="Times New Roman" w:cs="Times New Roman"/>
                <w:b/>
                <w:bCs/>
                <w:color w:val="auto"/>
                <w:sz w:val="24"/>
                <w:szCs w:val="24"/>
                <w:u w:val="single"/>
              </w:rPr>
            </w:pPr>
            <w:bookmarkStart w:id="46" w:name="_Hlk127354087"/>
            <w:r w:rsidRPr="00DE0837">
              <w:rPr>
                <w:rFonts w:ascii="Times New Roman" w:hAnsi="Times New Roman" w:cs="Times New Roman"/>
                <w:bCs/>
                <w:sz w:val="24"/>
                <w:szCs w:val="24"/>
              </w:rPr>
              <w:t xml:space="preserve">-  </w:t>
            </w:r>
            <w:r w:rsidR="009877D4" w:rsidRPr="009877D4">
              <w:rPr>
                <w:rFonts w:ascii="Times New Roman" w:hAnsi="Times New Roman" w:cs="Times New Roman"/>
                <w:bCs/>
                <w:sz w:val="24"/>
                <w:szCs w:val="24"/>
              </w:rPr>
              <w:t>протягом 202</w:t>
            </w:r>
            <w:r w:rsidR="000B5E16">
              <w:rPr>
                <w:rFonts w:ascii="Times New Roman" w:hAnsi="Times New Roman" w:cs="Times New Roman"/>
                <w:bCs/>
                <w:sz w:val="24"/>
                <w:szCs w:val="24"/>
              </w:rPr>
              <w:t>4</w:t>
            </w:r>
            <w:r w:rsidR="009877D4">
              <w:rPr>
                <w:rFonts w:ascii="Times New Roman" w:hAnsi="Times New Roman" w:cs="Times New Roman"/>
                <w:bCs/>
                <w:sz w:val="24"/>
                <w:szCs w:val="24"/>
              </w:rPr>
              <w:t xml:space="preserve">р., </w:t>
            </w:r>
            <w:r w:rsidR="002F1C10" w:rsidRPr="00DE0837">
              <w:rPr>
                <w:rFonts w:ascii="Times New Roman" w:hAnsi="Times New Roman" w:cs="Times New Roman"/>
                <w:sz w:val="24"/>
                <w:szCs w:val="24"/>
              </w:rPr>
              <w:t>до 31.12.202</w:t>
            </w:r>
            <w:r w:rsidR="000B5E16">
              <w:rPr>
                <w:rFonts w:ascii="Times New Roman" w:hAnsi="Times New Roman" w:cs="Times New Roman"/>
                <w:sz w:val="24"/>
                <w:szCs w:val="24"/>
              </w:rPr>
              <w:t>4</w:t>
            </w:r>
            <w:r w:rsidR="002F1C10" w:rsidRPr="00DE0837">
              <w:rPr>
                <w:rFonts w:ascii="Times New Roman" w:hAnsi="Times New Roman" w:cs="Times New Roman"/>
                <w:sz w:val="24"/>
                <w:szCs w:val="24"/>
              </w:rPr>
              <w:t xml:space="preserve"> р</w:t>
            </w:r>
            <w:r w:rsidR="009877D4">
              <w:rPr>
                <w:rFonts w:ascii="Times New Roman" w:hAnsi="Times New Roman" w:cs="Times New Roman"/>
                <w:sz w:val="24"/>
                <w:szCs w:val="24"/>
              </w:rPr>
              <w:t>.</w:t>
            </w:r>
          </w:p>
          <w:bookmarkEnd w:id="46"/>
          <w:p w14:paraId="7EB8645D" w14:textId="063FC3EC" w:rsidR="000B2BC1" w:rsidRDefault="00876171" w:rsidP="000B2BC1">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4324B" w:rsidRPr="00C4324B">
              <w:rPr>
                <w:rFonts w:ascii="Times New Roman" w:hAnsi="Times New Roman" w:cs="Times New Roman"/>
                <w:b/>
                <w:bCs/>
                <w:color w:val="auto"/>
                <w:sz w:val="24"/>
                <w:szCs w:val="24"/>
                <w:u w:val="single"/>
              </w:rPr>
              <w:t>місце поставки (передачі) товару</w:t>
            </w:r>
            <w:r w:rsidRPr="00DE0837">
              <w:rPr>
                <w:rFonts w:ascii="Times New Roman" w:hAnsi="Times New Roman" w:cs="Times New Roman"/>
                <w:bCs/>
                <w:color w:val="auto"/>
                <w:sz w:val="24"/>
                <w:szCs w:val="24"/>
              </w:rPr>
              <w:t>:</w:t>
            </w:r>
            <w:r w:rsidRPr="00DE0837">
              <w:rPr>
                <w:rFonts w:ascii="Times New Roman" w:hAnsi="Times New Roman" w:cs="Times New Roman"/>
                <w:color w:val="auto"/>
                <w:sz w:val="24"/>
                <w:szCs w:val="24"/>
              </w:rPr>
              <w:t xml:space="preserve"> </w:t>
            </w:r>
            <w:r w:rsidR="000B2BC1" w:rsidRPr="000B2BC1">
              <w:rPr>
                <w:rFonts w:ascii="Times New Roman" w:hAnsi="Times New Roman" w:cs="Times New Roman"/>
                <w:sz w:val="24"/>
                <w:szCs w:val="24"/>
              </w:rPr>
              <w:t>73000, Україна Херсонська область, м. Херсон, стаціонарна мережа автозапр</w:t>
            </w:r>
            <w:r w:rsidR="00DD1EA5">
              <w:rPr>
                <w:rFonts w:ascii="Times New Roman" w:hAnsi="Times New Roman" w:cs="Times New Roman"/>
                <w:sz w:val="24"/>
                <w:szCs w:val="24"/>
              </w:rPr>
              <w:t>авних станцій (АЗС) у м. Херсон.</w:t>
            </w:r>
          </w:p>
          <w:p w14:paraId="3C1C407B" w14:textId="602E3427" w:rsidR="007308B4" w:rsidRPr="00DE0837" w:rsidRDefault="00876171" w:rsidP="008A4FB2">
            <w:pPr>
              <w:spacing w:line="240" w:lineRule="auto"/>
              <w:ind w:firstLine="601"/>
              <w:rPr>
                <w:rFonts w:ascii="Times New Roman" w:hAnsi="Times New Roman" w:cs="Times New Roman"/>
                <w:bCs/>
                <w:color w:val="auto"/>
                <w:sz w:val="24"/>
                <w:szCs w:val="24"/>
              </w:rPr>
            </w:pPr>
            <w:r w:rsidRPr="00DE0837">
              <w:rPr>
                <w:rFonts w:ascii="Times New Roman" w:hAnsi="Times New Roman" w:cs="Times New Roman"/>
                <w:bCs/>
                <w:color w:val="auto"/>
                <w:sz w:val="24"/>
                <w:szCs w:val="24"/>
              </w:rPr>
              <w:t xml:space="preserve">- </w:t>
            </w:r>
            <w:r w:rsidRPr="00DE0837">
              <w:rPr>
                <w:rFonts w:ascii="Times New Roman" w:hAnsi="Times New Roman" w:cs="Times New Roman"/>
                <w:b/>
                <w:bCs/>
                <w:color w:val="auto"/>
                <w:sz w:val="24"/>
                <w:szCs w:val="24"/>
                <w:u w:val="single"/>
              </w:rPr>
              <w:t xml:space="preserve">умови </w:t>
            </w:r>
            <w:r w:rsidR="00C4324B">
              <w:rPr>
                <w:rFonts w:ascii="Times New Roman" w:hAnsi="Times New Roman" w:cs="Times New Roman"/>
                <w:b/>
                <w:bCs/>
                <w:sz w:val="24"/>
                <w:szCs w:val="24"/>
                <w:u w:val="single"/>
              </w:rPr>
              <w:t>поставки товару</w:t>
            </w:r>
            <w:r w:rsidRPr="00DE0837">
              <w:rPr>
                <w:rFonts w:ascii="Times New Roman" w:hAnsi="Times New Roman" w:cs="Times New Roman"/>
                <w:b/>
                <w:bCs/>
                <w:color w:val="auto"/>
                <w:sz w:val="24"/>
                <w:szCs w:val="24"/>
                <w:u w:val="single"/>
              </w:rPr>
              <w:t>:</w:t>
            </w:r>
            <w:r w:rsidR="007308B4" w:rsidRPr="00DE0837">
              <w:rPr>
                <w:rFonts w:ascii="Times New Roman" w:hAnsi="Times New Roman" w:cs="Times New Roman"/>
                <w:bCs/>
                <w:color w:val="auto"/>
                <w:sz w:val="24"/>
                <w:szCs w:val="24"/>
              </w:rPr>
              <w:t xml:space="preserve"> </w:t>
            </w:r>
            <w:r w:rsidR="00867E51" w:rsidRPr="00DE0837">
              <w:rPr>
                <w:rFonts w:ascii="Times New Roman" w:hAnsi="Times New Roman" w:cs="Times New Roman"/>
                <w:bCs/>
                <w:color w:val="auto"/>
                <w:sz w:val="24"/>
                <w:szCs w:val="24"/>
              </w:rPr>
              <w:t xml:space="preserve"> викладені в додатку 3 до тендерної документації.</w:t>
            </w:r>
          </w:p>
          <w:p w14:paraId="1888109D" w14:textId="6B0BC77A" w:rsidR="00E51F90" w:rsidRDefault="00DD1EA5" w:rsidP="008A4FB2">
            <w:pPr>
              <w:spacing w:line="240" w:lineRule="auto"/>
              <w:ind w:firstLine="601"/>
              <w:jc w:val="both"/>
              <w:rPr>
                <w:rFonts w:ascii="Times New Roman" w:hAnsi="Times New Roman" w:cs="Times New Roman"/>
                <w:bCs/>
                <w:color w:val="auto"/>
                <w:sz w:val="24"/>
                <w:szCs w:val="24"/>
              </w:rPr>
            </w:pPr>
            <w:r>
              <w:rPr>
                <w:bCs/>
              </w:rPr>
              <w:t xml:space="preserve"> </w:t>
            </w:r>
            <w:r w:rsidR="00340A5D" w:rsidRPr="00DD1EA5">
              <w:rPr>
                <w:rFonts w:ascii="Times New Roman" w:hAnsi="Times New Roman" w:cs="Times New Roman"/>
                <w:bCs/>
              </w:rPr>
              <w:t xml:space="preserve">- </w:t>
            </w:r>
            <w:r w:rsidR="00340A5D" w:rsidRPr="00DD1EA5">
              <w:rPr>
                <w:rFonts w:ascii="Times New Roman" w:hAnsi="Times New Roman" w:cs="Times New Roman"/>
                <w:b/>
                <w:bCs/>
                <w:u w:val="single"/>
              </w:rPr>
              <w:t xml:space="preserve">якість </w:t>
            </w:r>
            <w:r w:rsidR="00C4324B" w:rsidRPr="00DD1EA5">
              <w:rPr>
                <w:rFonts w:ascii="Times New Roman" w:hAnsi="Times New Roman" w:cs="Times New Roman"/>
                <w:b/>
                <w:bCs/>
                <w:u w:val="single"/>
              </w:rPr>
              <w:t>товару</w:t>
            </w:r>
            <w:r w:rsidR="00340A5D" w:rsidRPr="00DD1EA5">
              <w:rPr>
                <w:rFonts w:ascii="Times New Roman" w:hAnsi="Times New Roman" w:cs="Times New Roman"/>
                <w:b/>
                <w:bCs/>
                <w:u w:val="single"/>
              </w:rPr>
              <w:t>:</w:t>
            </w:r>
            <w:r w:rsidR="00340A5D" w:rsidRPr="00583F8D">
              <w:rPr>
                <w:bCs/>
              </w:rPr>
              <w:t xml:space="preserve">  </w:t>
            </w:r>
            <w:r w:rsidR="00583F8D" w:rsidRPr="00583F8D">
              <w:rPr>
                <w:rStyle w:val="FontStyle70"/>
                <w:b w:val="0"/>
                <w:bCs w:val="0"/>
                <w:sz w:val="24"/>
                <w:szCs w:val="24"/>
              </w:rPr>
              <w:t>Товар повинен відповідати діючим державним стандартам, а саме:</w:t>
            </w:r>
            <w:r w:rsidR="00583F8D" w:rsidRPr="00583F8D">
              <w:rPr>
                <w:rStyle w:val="FontStyle70"/>
                <w:sz w:val="24"/>
                <w:szCs w:val="24"/>
              </w:rPr>
              <w:t xml:space="preserve"> </w:t>
            </w:r>
            <w:r w:rsidRPr="009B28EA">
              <w:rPr>
                <w:rFonts w:ascii="Times New Roman" w:hAnsi="Times New Roman" w:cs="Times New Roman"/>
                <w:bCs/>
                <w:color w:val="auto"/>
                <w:sz w:val="24"/>
                <w:szCs w:val="24"/>
              </w:rPr>
              <w:t>Дизельне паливо (ДП) кліматичний період – Л(літнє) або З(зимне); за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r w:rsidR="009B28EA" w:rsidRPr="009B28EA">
              <w:rPr>
                <w:rFonts w:ascii="Times New Roman" w:hAnsi="Times New Roman" w:cs="Times New Roman"/>
                <w:bCs/>
                <w:color w:val="auto"/>
                <w:sz w:val="24"/>
                <w:szCs w:val="24"/>
              </w:rPr>
              <w:t>;</w:t>
            </w:r>
          </w:p>
          <w:p w14:paraId="3DF090C0" w14:textId="6A2EBB0B" w:rsidR="009B28EA" w:rsidRDefault="009B28EA" w:rsidP="008A4FB2">
            <w:pPr>
              <w:spacing w:line="240" w:lineRule="auto"/>
              <w:ind w:firstLine="601"/>
              <w:jc w:val="both"/>
              <w:rPr>
                <w:rFonts w:ascii="Times New Roman" w:hAnsi="Times New Roman" w:cs="Times New Roman"/>
                <w:bCs/>
                <w:color w:val="auto"/>
                <w:sz w:val="24"/>
                <w:szCs w:val="24"/>
              </w:rPr>
            </w:pPr>
            <w:r w:rsidRPr="009B28EA">
              <w:rPr>
                <w:rFonts w:ascii="Times New Roman" w:hAnsi="Times New Roman" w:cs="Times New Roman"/>
                <w:bCs/>
                <w:color w:val="auto"/>
                <w:sz w:val="24"/>
                <w:szCs w:val="24"/>
              </w:rPr>
              <w:t>-</w:t>
            </w:r>
            <w:r w:rsidRPr="009B28EA">
              <w:rPr>
                <w:rFonts w:ascii="Times New Roman" w:hAnsi="Times New Roman" w:cs="Times New Roman"/>
                <w:bCs/>
                <w:color w:val="auto"/>
                <w:sz w:val="24"/>
                <w:szCs w:val="24"/>
              </w:rPr>
              <w:tab/>
              <w:t>Бензин А95 кліматичний період – Л(літнє); за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r>
              <w:rPr>
                <w:rFonts w:ascii="Times New Roman" w:hAnsi="Times New Roman" w:cs="Times New Roman"/>
                <w:bCs/>
                <w:color w:val="auto"/>
                <w:sz w:val="24"/>
                <w:szCs w:val="24"/>
              </w:rPr>
              <w:t>.</w:t>
            </w:r>
          </w:p>
          <w:p w14:paraId="67BECCCC" w14:textId="1D4FC6BD" w:rsidR="00876171" w:rsidRPr="00583F8D" w:rsidRDefault="00B1604B" w:rsidP="008A4FB2">
            <w:pPr>
              <w:spacing w:line="240" w:lineRule="auto"/>
              <w:ind w:firstLine="601"/>
              <w:jc w:val="both"/>
              <w:rPr>
                <w:rFonts w:ascii="Times New Roman" w:hAnsi="Times New Roman" w:cs="Times New Roman"/>
                <w:b/>
                <w:color w:val="auto"/>
                <w:sz w:val="24"/>
                <w:szCs w:val="24"/>
                <w:u w:val="single"/>
              </w:rPr>
            </w:pPr>
            <w:r w:rsidRPr="00583F8D">
              <w:rPr>
                <w:rFonts w:ascii="Times New Roman" w:hAnsi="Times New Roman" w:cs="Times New Roman"/>
                <w:sz w:val="24"/>
                <w:szCs w:val="24"/>
              </w:rPr>
              <w:t>-</w:t>
            </w:r>
            <w:r w:rsidR="00876171" w:rsidRPr="00583F8D">
              <w:rPr>
                <w:rFonts w:ascii="Times New Roman" w:hAnsi="Times New Roman" w:cs="Times New Roman"/>
                <w:b/>
                <w:color w:val="auto"/>
                <w:sz w:val="24"/>
                <w:szCs w:val="24"/>
              </w:rPr>
              <w:t xml:space="preserve"> </w:t>
            </w:r>
            <w:r w:rsidR="00C21CF7" w:rsidRPr="00583F8D">
              <w:rPr>
                <w:rFonts w:ascii="Times New Roman" w:hAnsi="Times New Roman" w:cs="Times New Roman"/>
                <w:b/>
                <w:color w:val="auto"/>
                <w:sz w:val="24"/>
                <w:szCs w:val="24"/>
                <w:u w:val="single"/>
              </w:rPr>
              <w:t>строк дії договору</w:t>
            </w:r>
            <w:r w:rsidR="00876171" w:rsidRPr="00583F8D">
              <w:rPr>
                <w:rFonts w:ascii="Times New Roman" w:hAnsi="Times New Roman" w:cs="Times New Roman"/>
                <w:b/>
                <w:color w:val="auto"/>
                <w:sz w:val="24"/>
                <w:szCs w:val="24"/>
                <w:u w:val="single"/>
              </w:rPr>
              <w:t>:</w:t>
            </w:r>
          </w:p>
          <w:p w14:paraId="1DC3A2C6" w14:textId="232D949D" w:rsidR="0063462E" w:rsidRPr="00C4324B" w:rsidRDefault="00C4324B" w:rsidP="00C4324B">
            <w:pPr>
              <w:pStyle w:val="3"/>
              <w:widowControl w:val="0"/>
              <w:spacing w:line="240" w:lineRule="auto"/>
              <w:ind w:firstLine="595"/>
              <w:jc w:val="both"/>
              <w:rPr>
                <w:rFonts w:ascii="Times New Roman" w:hAnsi="Times New Roman" w:cs="Times New Roman"/>
                <w:sz w:val="24"/>
                <w:szCs w:val="24"/>
                <w:lang w:val="uk-UA"/>
              </w:rPr>
            </w:pPr>
            <w:r w:rsidRPr="00C4324B">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його скріплення печатками Сторін</w:t>
            </w:r>
            <w:r>
              <w:rPr>
                <w:rFonts w:ascii="Times New Roman" w:hAnsi="Times New Roman" w:cs="Times New Roman"/>
                <w:sz w:val="24"/>
                <w:szCs w:val="24"/>
                <w:lang w:val="uk-UA"/>
              </w:rPr>
              <w:t xml:space="preserve"> </w:t>
            </w:r>
            <w:r w:rsidRPr="00C4324B">
              <w:rPr>
                <w:rFonts w:ascii="Times New Roman" w:hAnsi="Times New Roman" w:cs="Times New Roman"/>
                <w:sz w:val="24"/>
                <w:szCs w:val="24"/>
                <w:lang w:val="uk-UA"/>
              </w:rPr>
              <w:t>та діє до 31 грудня 202</w:t>
            </w:r>
            <w:r w:rsidR="009561AF">
              <w:rPr>
                <w:rFonts w:ascii="Times New Roman" w:hAnsi="Times New Roman" w:cs="Times New Roman"/>
                <w:sz w:val="24"/>
                <w:szCs w:val="24"/>
                <w:lang w:val="uk-UA"/>
              </w:rPr>
              <w:t>4</w:t>
            </w:r>
            <w:r w:rsidRPr="00C4324B">
              <w:rPr>
                <w:rFonts w:ascii="Times New Roman" w:hAnsi="Times New Roman" w:cs="Times New Roman"/>
                <w:sz w:val="24"/>
                <w:szCs w:val="24"/>
                <w:lang w:val="uk-UA"/>
              </w:rPr>
              <w:t xml:space="preserve"> року, але в будь-якому випадку до повного виконання своїх </w:t>
            </w:r>
            <w:r w:rsidRPr="00C4324B">
              <w:rPr>
                <w:rFonts w:ascii="Times New Roman" w:hAnsi="Times New Roman" w:cs="Times New Roman"/>
                <w:sz w:val="24"/>
                <w:szCs w:val="24"/>
                <w:lang w:val="uk-UA"/>
              </w:rPr>
              <w:lastRenderedPageBreak/>
              <w:t>зобов’язань Продавцем та Покупцем</w:t>
            </w:r>
            <w:r w:rsidR="001A1641" w:rsidRPr="004C679C">
              <w:rPr>
                <w:rFonts w:ascii="Times New Roman" w:eastAsia="Times New Roman" w:hAnsi="Times New Roman"/>
                <w:sz w:val="24"/>
                <w:szCs w:val="24"/>
                <w:lang w:val="uk-UA"/>
              </w:rPr>
              <w:t>.</w:t>
            </w:r>
          </w:p>
          <w:p w14:paraId="45BA99C4" w14:textId="2BA1B65A" w:rsidR="00892D04" w:rsidRDefault="00892D04" w:rsidP="008A4FB2">
            <w:pPr>
              <w:spacing w:line="240" w:lineRule="auto"/>
              <w:ind w:firstLine="601"/>
              <w:jc w:val="both"/>
              <w:rPr>
                <w:rFonts w:ascii="Times New Roman" w:eastAsia="Arial" w:hAnsi="Times New Roman" w:cs="Times New Roman"/>
                <w:sz w:val="24"/>
                <w:szCs w:val="24"/>
              </w:rPr>
            </w:pPr>
            <w:r w:rsidRPr="00892D04">
              <w:rPr>
                <w:rFonts w:ascii="Times New Roman" w:eastAsia="Arial"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2D2D8100" w:rsidR="0087617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виникнення платіжних зобов’язань за договором</w:t>
            </w:r>
            <w:r w:rsidRPr="00DE0837">
              <w:rPr>
                <w:rFonts w:ascii="Times New Roman" w:hAnsi="Times New Roman" w:cs="Times New Roman"/>
                <w:b/>
                <w:color w:val="auto"/>
                <w:sz w:val="28"/>
                <w:szCs w:val="28"/>
              </w:rPr>
              <w:t xml:space="preserve"> - </w:t>
            </w:r>
            <w:r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47" w:name="n1809"/>
            <w:bookmarkEnd w:id="47"/>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9"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48" w:name="n96"/>
            <w:bookmarkEnd w:id="48"/>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0"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49" w:name="n97"/>
            <w:bookmarkEnd w:id="49"/>
            <w:r w:rsidRPr="00CF2C9A">
              <w:rPr>
                <w:rFonts w:ascii="Times New Roman" w:hAnsi="Times New Roman" w:cs="Times New Roman"/>
                <w:color w:val="auto"/>
                <w:sz w:val="24"/>
                <w:szCs w:val="24"/>
                <w:lang w:eastAsia="uk-UA"/>
              </w:rPr>
              <w:t>3) укладення договору про закупівлю в період оскарження відкритих торгів відповідно до </w:t>
            </w:r>
            <w:hyperlink r:id="rId11"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50" w:name="n98"/>
            <w:bookmarkEnd w:id="50"/>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2"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13"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пункту 46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51" w:name="n99"/>
            <w:bookmarkEnd w:id="51"/>
            <w:r w:rsidRPr="00CF2C9A">
              <w:rPr>
                <w:rFonts w:ascii="Times New Roman" w:hAnsi="Times New Roman" w:cs="Times New Roman"/>
                <w:color w:val="auto"/>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77777777"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B979D2">
      <w:headerReference w:type="even" r:id="rId15"/>
      <w:headerReference w:type="default" r:id="rId16"/>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1090" w14:textId="77777777" w:rsidR="00B979D2" w:rsidRDefault="00B979D2">
      <w:r>
        <w:separator/>
      </w:r>
    </w:p>
  </w:endnote>
  <w:endnote w:type="continuationSeparator" w:id="0">
    <w:p w14:paraId="6F5F84CA" w14:textId="77777777" w:rsidR="00B979D2" w:rsidRDefault="00B9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CYR">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9386" w14:textId="77777777" w:rsidR="00B979D2" w:rsidRDefault="00B979D2">
      <w:r>
        <w:separator/>
      </w:r>
    </w:p>
  </w:footnote>
  <w:footnote w:type="continuationSeparator" w:id="0">
    <w:p w14:paraId="13CA9FF5" w14:textId="77777777" w:rsidR="00B979D2" w:rsidRDefault="00B9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27C1E" w:rsidRDefault="00F27C1E"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27C1E" w:rsidRDefault="00F27C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7D36" w14:textId="4147AC99" w:rsidR="00F27C1E" w:rsidRDefault="00F27C1E"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9B28EA">
      <w:rPr>
        <w:rStyle w:val="a4"/>
        <w:rFonts w:cs="Arial"/>
        <w:noProof/>
      </w:rPr>
      <w:t>28</w:t>
    </w:r>
    <w:r>
      <w:rPr>
        <w:rStyle w:val="a4"/>
        <w:rFonts w:cs="Arial"/>
      </w:rPr>
      <w:fldChar w:fldCharType="end"/>
    </w:r>
  </w:p>
  <w:p w14:paraId="543B42B4" w14:textId="77777777" w:rsidR="00F27C1E" w:rsidRDefault="00F27C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1949191867">
    <w:abstractNumId w:val="15"/>
  </w:num>
  <w:num w:numId="2" w16cid:durableId="912349815">
    <w:abstractNumId w:val="30"/>
  </w:num>
  <w:num w:numId="3" w16cid:durableId="795298725">
    <w:abstractNumId w:val="14"/>
  </w:num>
  <w:num w:numId="4" w16cid:durableId="92483495">
    <w:abstractNumId w:val="29"/>
  </w:num>
  <w:num w:numId="5" w16cid:durableId="561447373">
    <w:abstractNumId w:val="1"/>
  </w:num>
  <w:num w:numId="6" w16cid:durableId="1354653826">
    <w:abstractNumId w:val="27"/>
  </w:num>
  <w:num w:numId="7" w16cid:durableId="598832362">
    <w:abstractNumId w:val="21"/>
  </w:num>
  <w:num w:numId="8" w16cid:durableId="489759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3969245">
    <w:abstractNumId w:val="9"/>
    <w:lvlOverride w:ilvl="0">
      <w:startOverride w:val="1"/>
    </w:lvlOverride>
  </w:num>
  <w:num w:numId="10" w16cid:durableId="1453786354">
    <w:abstractNumId w:val="10"/>
  </w:num>
  <w:num w:numId="11" w16cid:durableId="570579918">
    <w:abstractNumId w:val="28"/>
  </w:num>
  <w:num w:numId="12" w16cid:durableId="504982146">
    <w:abstractNumId w:val="5"/>
  </w:num>
  <w:num w:numId="13" w16cid:durableId="1071197503">
    <w:abstractNumId w:val="19"/>
  </w:num>
  <w:num w:numId="14" w16cid:durableId="2026176976">
    <w:abstractNumId w:val="18"/>
  </w:num>
  <w:num w:numId="15" w16cid:durableId="540291699">
    <w:abstractNumId w:val="26"/>
  </w:num>
  <w:num w:numId="16" w16cid:durableId="129246854">
    <w:abstractNumId w:val="16"/>
  </w:num>
  <w:num w:numId="17" w16cid:durableId="1327588468">
    <w:abstractNumId w:val="3"/>
  </w:num>
  <w:num w:numId="18" w16cid:durableId="515579215">
    <w:abstractNumId w:val="22"/>
  </w:num>
  <w:num w:numId="19" w16cid:durableId="131096747">
    <w:abstractNumId w:val="17"/>
  </w:num>
  <w:num w:numId="20" w16cid:durableId="1481191153">
    <w:abstractNumId w:val="8"/>
  </w:num>
  <w:num w:numId="21" w16cid:durableId="16017149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8178244">
    <w:abstractNumId w:val="23"/>
  </w:num>
  <w:num w:numId="23" w16cid:durableId="1862938053">
    <w:abstractNumId w:val="25"/>
  </w:num>
  <w:num w:numId="24" w16cid:durableId="1438335074">
    <w:abstractNumId w:val="11"/>
  </w:num>
  <w:num w:numId="25" w16cid:durableId="1442186823">
    <w:abstractNumId w:val="12"/>
  </w:num>
  <w:num w:numId="26" w16cid:durableId="1086028081">
    <w:abstractNumId w:val="13"/>
  </w:num>
  <w:num w:numId="27" w16cid:durableId="602807056">
    <w:abstractNumId w:val="6"/>
  </w:num>
  <w:num w:numId="28" w16cid:durableId="1363244072">
    <w:abstractNumId w:val="7"/>
  </w:num>
  <w:num w:numId="29" w16cid:durableId="1181167915">
    <w:abstractNumId w:val="0"/>
  </w:num>
  <w:num w:numId="30" w16cid:durableId="14157733">
    <w:abstractNumId w:val="4"/>
  </w:num>
  <w:num w:numId="31" w16cid:durableId="1193113312">
    <w:abstractNumId w:val="24"/>
  </w:num>
  <w:num w:numId="32" w16cid:durableId="189419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833"/>
    <w:rsid w:val="00096A79"/>
    <w:rsid w:val="00096CEB"/>
    <w:rsid w:val="00097980"/>
    <w:rsid w:val="00097AAC"/>
    <w:rsid w:val="00097F3D"/>
    <w:rsid w:val="000A09BB"/>
    <w:rsid w:val="000A0E34"/>
    <w:rsid w:val="000A1B4B"/>
    <w:rsid w:val="000A23B0"/>
    <w:rsid w:val="000A428D"/>
    <w:rsid w:val="000A42A7"/>
    <w:rsid w:val="000A67DF"/>
    <w:rsid w:val="000B0699"/>
    <w:rsid w:val="000B09C9"/>
    <w:rsid w:val="000B0CC6"/>
    <w:rsid w:val="000B11D6"/>
    <w:rsid w:val="000B1965"/>
    <w:rsid w:val="000B2BC1"/>
    <w:rsid w:val="000B3650"/>
    <w:rsid w:val="000B452E"/>
    <w:rsid w:val="000B4799"/>
    <w:rsid w:val="000B5E16"/>
    <w:rsid w:val="000B7EAA"/>
    <w:rsid w:val="000C1191"/>
    <w:rsid w:val="000C155E"/>
    <w:rsid w:val="000C1D1F"/>
    <w:rsid w:val="000C1FA8"/>
    <w:rsid w:val="000C2CDB"/>
    <w:rsid w:val="000C3144"/>
    <w:rsid w:val="000C32BA"/>
    <w:rsid w:val="000C3899"/>
    <w:rsid w:val="000C4717"/>
    <w:rsid w:val="000C6CA0"/>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442"/>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26F49"/>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0F0E"/>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575"/>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2C0A"/>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1A0E"/>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0403"/>
    <w:rsid w:val="0041176F"/>
    <w:rsid w:val="00411EE3"/>
    <w:rsid w:val="004122F2"/>
    <w:rsid w:val="0041314E"/>
    <w:rsid w:val="0041387C"/>
    <w:rsid w:val="00413B60"/>
    <w:rsid w:val="0041410D"/>
    <w:rsid w:val="00415247"/>
    <w:rsid w:val="00415783"/>
    <w:rsid w:val="004159AA"/>
    <w:rsid w:val="0041605E"/>
    <w:rsid w:val="00416253"/>
    <w:rsid w:val="00416AC3"/>
    <w:rsid w:val="0041797D"/>
    <w:rsid w:val="004200B2"/>
    <w:rsid w:val="0042294E"/>
    <w:rsid w:val="00422DCD"/>
    <w:rsid w:val="00423AFA"/>
    <w:rsid w:val="00426DE1"/>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3AE"/>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87E77"/>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7441"/>
    <w:rsid w:val="005A7E69"/>
    <w:rsid w:val="005B0F57"/>
    <w:rsid w:val="005B29AE"/>
    <w:rsid w:val="005B4A3E"/>
    <w:rsid w:val="005B4B88"/>
    <w:rsid w:val="005B5E18"/>
    <w:rsid w:val="005C3553"/>
    <w:rsid w:val="005C3AB4"/>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E7E30"/>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A0970"/>
    <w:rsid w:val="006A2580"/>
    <w:rsid w:val="006A29C3"/>
    <w:rsid w:val="006A2A43"/>
    <w:rsid w:val="006A329A"/>
    <w:rsid w:val="006A4E3D"/>
    <w:rsid w:val="006A6C13"/>
    <w:rsid w:val="006A7EEA"/>
    <w:rsid w:val="006B0F9D"/>
    <w:rsid w:val="006B561A"/>
    <w:rsid w:val="006B6718"/>
    <w:rsid w:val="006C2D79"/>
    <w:rsid w:val="006C4707"/>
    <w:rsid w:val="006C6502"/>
    <w:rsid w:val="006C74A2"/>
    <w:rsid w:val="006D09B9"/>
    <w:rsid w:val="006D1AD6"/>
    <w:rsid w:val="006D1ADF"/>
    <w:rsid w:val="006D296E"/>
    <w:rsid w:val="006D35CB"/>
    <w:rsid w:val="006D7AF4"/>
    <w:rsid w:val="006E1334"/>
    <w:rsid w:val="006E16A1"/>
    <w:rsid w:val="006E1DEC"/>
    <w:rsid w:val="006E3FAA"/>
    <w:rsid w:val="006E4152"/>
    <w:rsid w:val="006E473F"/>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6D7"/>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A3F"/>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58FD"/>
    <w:rsid w:val="007A6276"/>
    <w:rsid w:val="007B056E"/>
    <w:rsid w:val="007B074B"/>
    <w:rsid w:val="007B087A"/>
    <w:rsid w:val="007B419D"/>
    <w:rsid w:val="007B51A7"/>
    <w:rsid w:val="007B5202"/>
    <w:rsid w:val="007B636C"/>
    <w:rsid w:val="007B7884"/>
    <w:rsid w:val="007C0048"/>
    <w:rsid w:val="007C2024"/>
    <w:rsid w:val="007C3675"/>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7DA"/>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49E"/>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59E8"/>
    <w:rsid w:val="00876171"/>
    <w:rsid w:val="0087643C"/>
    <w:rsid w:val="00877A4F"/>
    <w:rsid w:val="00880862"/>
    <w:rsid w:val="008808BF"/>
    <w:rsid w:val="00880C4B"/>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4F7F"/>
    <w:rsid w:val="008E50BD"/>
    <w:rsid w:val="008E51D7"/>
    <w:rsid w:val="008E6CFE"/>
    <w:rsid w:val="008E6D95"/>
    <w:rsid w:val="008F264C"/>
    <w:rsid w:val="008F2A4B"/>
    <w:rsid w:val="008F2FC6"/>
    <w:rsid w:val="00900C07"/>
    <w:rsid w:val="009017F2"/>
    <w:rsid w:val="00902F71"/>
    <w:rsid w:val="0090337F"/>
    <w:rsid w:val="00903BA8"/>
    <w:rsid w:val="00903EAD"/>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61AF"/>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8EA"/>
    <w:rsid w:val="009B2CE3"/>
    <w:rsid w:val="009B522F"/>
    <w:rsid w:val="009B700D"/>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667"/>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27CF8"/>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86B94"/>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5D76"/>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5960"/>
    <w:rsid w:val="00B86154"/>
    <w:rsid w:val="00B863BA"/>
    <w:rsid w:val="00B877CD"/>
    <w:rsid w:val="00B87F2D"/>
    <w:rsid w:val="00B91EBA"/>
    <w:rsid w:val="00B9285B"/>
    <w:rsid w:val="00B92F7E"/>
    <w:rsid w:val="00B94391"/>
    <w:rsid w:val="00B94422"/>
    <w:rsid w:val="00B944FB"/>
    <w:rsid w:val="00B94919"/>
    <w:rsid w:val="00B95994"/>
    <w:rsid w:val="00B96890"/>
    <w:rsid w:val="00B97897"/>
    <w:rsid w:val="00B979D2"/>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0F44"/>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2F28"/>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4D54"/>
    <w:rsid w:val="00D15A82"/>
    <w:rsid w:val="00D15F09"/>
    <w:rsid w:val="00D16AA3"/>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87AAC"/>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1EA5"/>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1F90"/>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889"/>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27C1E"/>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2B5"/>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2D16"/>
    <w:rsid w:val="00F930E0"/>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2134"/>
    <w:rsid w:val="00FB25BC"/>
    <w:rsid w:val="00FB25F9"/>
    <w:rsid w:val="00FB2EE1"/>
    <w:rsid w:val="00FB3EA5"/>
    <w:rsid w:val="00FB50EB"/>
    <w:rsid w:val="00FB52FD"/>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14E1-6067-46FA-9D5E-A496FF02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30</Pages>
  <Words>9154</Words>
  <Characters>63180</Characters>
  <Application>Microsoft Office Word</Application>
  <DocSecurity>0</DocSecurity>
  <Lines>526</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72190</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Татьяна Черникова</cp:lastModifiedBy>
  <cp:revision>148</cp:revision>
  <cp:lastPrinted>2020-07-09T11:32:00Z</cp:lastPrinted>
  <dcterms:created xsi:type="dcterms:W3CDTF">2023-01-23T14:26:00Z</dcterms:created>
  <dcterms:modified xsi:type="dcterms:W3CDTF">2024-04-12T14:17:00Z</dcterms:modified>
</cp:coreProperties>
</file>