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66090F"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513549">
              <w:rPr>
                <w:rFonts w:ascii="Times New Roman" w:hAnsi="Times New Roman" w:cs="Times New Roman"/>
                <w:noProof/>
                <w:sz w:val="24"/>
                <w:szCs w:val="24"/>
                <w:highlight w:val="yellow"/>
              </w:rPr>
              <w:t xml:space="preserve">від  </w:t>
            </w:r>
            <w:r w:rsidR="00513549" w:rsidRPr="00513549">
              <w:rPr>
                <w:rFonts w:ascii="Times New Roman" w:hAnsi="Times New Roman" w:cs="Times New Roman"/>
                <w:noProof/>
                <w:sz w:val="24"/>
                <w:szCs w:val="24"/>
                <w:highlight w:val="yellow"/>
              </w:rPr>
              <w:t>2</w:t>
            </w:r>
            <w:r w:rsidRPr="00513549">
              <w:rPr>
                <w:rFonts w:ascii="Times New Roman" w:hAnsi="Times New Roman" w:cs="Times New Roman"/>
                <w:noProof/>
                <w:sz w:val="24"/>
                <w:szCs w:val="24"/>
                <w:highlight w:val="yellow"/>
              </w:rPr>
              <w:t xml:space="preserve"> </w:t>
            </w:r>
            <w:r w:rsidR="00513549" w:rsidRPr="00513549">
              <w:rPr>
                <w:rFonts w:ascii="Times New Roman" w:hAnsi="Times New Roman" w:cs="Times New Roman"/>
                <w:noProof/>
                <w:sz w:val="24"/>
                <w:szCs w:val="24"/>
                <w:highlight w:val="yellow"/>
              </w:rPr>
              <w:t>червня</w:t>
            </w:r>
            <w:r w:rsidRPr="00513549">
              <w:rPr>
                <w:rFonts w:ascii="Times New Roman" w:hAnsi="Times New Roman" w:cs="Times New Roman"/>
                <w:noProof/>
                <w:sz w:val="24"/>
                <w:szCs w:val="24"/>
                <w:highlight w:val="yellow"/>
              </w:rPr>
              <w:t xml:space="preserve"> 2023 р.</w:t>
            </w:r>
            <w:r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AB042A" w:rsidRPr="00AB042A">
        <w:rPr>
          <w:rFonts w:ascii="Times New Roman" w:eastAsia="Times New Roman" w:hAnsi="Times New Roman" w:cs="Times New Roman"/>
          <w:b/>
          <w:sz w:val="24"/>
          <w:szCs w:val="24"/>
        </w:rPr>
        <w:t>44410000-7 Вироби для ванної кімнати та кухні (Санітарна техніка)</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AB042A" w:rsidRPr="00AB042A">
              <w:rPr>
                <w:rFonts w:ascii="Times New Roman" w:eastAsia="Times New Roman" w:hAnsi="Times New Roman" w:cs="Times New Roman"/>
                <w:b/>
                <w:sz w:val="24"/>
                <w:szCs w:val="24"/>
              </w:rPr>
              <w:t>44410000-7 Вироби для ванної кімнати та кухні (Санітарна техніка)</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AB042A" w:rsidRPr="00AB042A" w:rsidRDefault="00AB042A" w:rsidP="00AB042A">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Умивальник ЕКО 55 – 3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П'єдестал DECO – 3 </w:t>
            </w:r>
            <w:proofErr w:type="spellStart"/>
            <w:r w:rsidRPr="00AB042A">
              <w:rPr>
                <w:rFonts w:ascii="Times New Roman" w:eastAsia="Times New Roman" w:hAnsi="Times New Roman"/>
                <w:sz w:val="24"/>
                <w:szCs w:val="24"/>
              </w:rPr>
              <w:t>шт</w:t>
            </w:r>
            <w:proofErr w:type="spellEnd"/>
          </w:p>
          <w:p w:rsidR="00592BD0" w:rsidRPr="00AB042A" w:rsidRDefault="00AB042A" w:rsidP="00793429">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Змішувач ZEGOR DAK1-A827 – 6 </w:t>
            </w:r>
            <w:proofErr w:type="spellStart"/>
            <w:r w:rsidRPr="00AB042A">
              <w:rPr>
                <w:rFonts w:ascii="Times New Roman" w:eastAsia="Times New Roman" w:hAnsi="Times New Roman"/>
                <w:sz w:val="24"/>
                <w:szCs w:val="24"/>
              </w:rPr>
              <w:t>шт</w:t>
            </w:r>
            <w:proofErr w:type="spellEnd"/>
          </w:p>
          <w:p w:rsidR="00AB042A" w:rsidRPr="00AB042A" w:rsidRDefault="00AB042A" w:rsidP="00793429">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Сифон для умивальника та мийки з </w:t>
            </w:r>
            <w:proofErr w:type="spellStart"/>
            <w:r w:rsidRPr="00AB042A">
              <w:rPr>
                <w:rFonts w:ascii="Times New Roman" w:eastAsia="Times New Roman" w:hAnsi="Times New Roman"/>
                <w:sz w:val="24"/>
                <w:szCs w:val="24"/>
              </w:rPr>
              <w:t>гофротрубою</w:t>
            </w:r>
            <w:proofErr w:type="spellEnd"/>
            <w:r w:rsidRPr="00AB042A">
              <w:rPr>
                <w:rFonts w:ascii="Times New Roman" w:eastAsia="Times New Roman" w:hAnsi="Times New Roman"/>
                <w:sz w:val="24"/>
                <w:szCs w:val="24"/>
              </w:rPr>
              <w:t xml:space="preserve"> Т-1050 – 10 </w:t>
            </w:r>
            <w:proofErr w:type="spellStart"/>
            <w:r w:rsidRPr="00AB042A">
              <w:rPr>
                <w:rFonts w:ascii="Times New Roman" w:eastAsia="Times New Roman" w:hAnsi="Times New Roman"/>
                <w:sz w:val="24"/>
                <w:szCs w:val="24"/>
              </w:rPr>
              <w:t>шт</w:t>
            </w:r>
            <w:proofErr w:type="spellEnd"/>
          </w:p>
          <w:p w:rsidR="00AB042A" w:rsidRPr="00AB042A" w:rsidRDefault="00AB042A" w:rsidP="00793429">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Змішувач ZEGOR LEB7-B123 ванна – 3 </w:t>
            </w:r>
            <w:proofErr w:type="spellStart"/>
            <w:r w:rsidRPr="00AB042A">
              <w:rPr>
                <w:rFonts w:ascii="Times New Roman" w:eastAsia="Times New Roman" w:hAnsi="Times New Roman"/>
                <w:sz w:val="24"/>
                <w:szCs w:val="24"/>
              </w:rPr>
              <w:t>шт</w:t>
            </w:r>
            <w:proofErr w:type="spellEnd"/>
          </w:p>
          <w:p w:rsidR="00AB042A" w:rsidRPr="00AB042A" w:rsidRDefault="00AB042A" w:rsidP="00793429">
            <w:pPr>
              <w:jc w:val="both"/>
              <w:rPr>
                <w:rFonts w:ascii="Times New Roman" w:eastAsia="Times New Roman" w:hAnsi="Times New Roman"/>
                <w:sz w:val="24"/>
                <w:szCs w:val="24"/>
              </w:rPr>
            </w:pPr>
            <w:proofErr w:type="spellStart"/>
            <w:r w:rsidRPr="00AB042A">
              <w:rPr>
                <w:rFonts w:ascii="Times New Roman" w:eastAsia="Times New Roman" w:hAnsi="Times New Roman"/>
                <w:sz w:val="24"/>
                <w:szCs w:val="24"/>
              </w:rPr>
              <w:t>Гофра</w:t>
            </w:r>
            <w:proofErr w:type="spellEnd"/>
            <w:r w:rsidRPr="00AB042A">
              <w:rPr>
                <w:rFonts w:ascii="Times New Roman" w:eastAsia="Times New Roman" w:hAnsi="Times New Roman"/>
                <w:sz w:val="24"/>
                <w:szCs w:val="24"/>
              </w:rPr>
              <w:t xml:space="preserve"> для унітаза </w:t>
            </w:r>
            <w:proofErr w:type="spellStart"/>
            <w:r w:rsidRPr="00AB042A">
              <w:rPr>
                <w:rFonts w:ascii="Times New Roman" w:eastAsia="Times New Roman" w:hAnsi="Times New Roman"/>
                <w:sz w:val="24"/>
                <w:szCs w:val="24"/>
              </w:rPr>
              <w:t>АНИ</w:t>
            </w:r>
            <w:proofErr w:type="spellEnd"/>
            <w:r w:rsidRPr="00AB042A">
              <w:rPr>
                <w:rFonts w:ascii="Times New Roman" w:eastAsia="Times New Roman" w:hAnsi="Times New Roman"/>
                <w:sz w:val="24"/>
                <w:szCs w:val="24"/>
              </w:rPr>
              <w:t xml:space="preserve"> К828 D-110мм довжина 23-500 мм – 2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spacing w:after="160" w:line="259" w:lineRule="auto"/>
              <w:jc w:val="both"/>
              <w:rPr>
                <w:rFonts w:ascii="Times New Roman" w:eastAsia="Times New Roman" w:hAnsi="Times New Roman"/>
                <w:sz w:val="24"/>
                <w:szCs w:val="24"/>
              </w:rPr>
            </w:pPr>
            <w:proofErr w:type="spellStart"/>
            <w:r w:rsidRPr="00AB042A">
              <w:rPr>
                <w:rFonts w:ascii="Times New Roman" w:eastAsia="Times New Roman" w:hAnsi="Times New Roman"/>
                <w:sz w:val="24"/>
                <w:szCs w:val="24"/>
              </w:rPr>
              <w:lastRenderedPageBreak/>
              <w:t>Компакт</w:t>
            </w:r>
            <w:proofErr w:type="spellEnd"/>
            <w:r w:rsidRPr="00AB042A">
              <w:rPr>
                <w:rFonts w:ascii="Times New Roman" w:eastAsia="Times New Roman" w:hAnsi="Times New Roman"/>
                <w:sz w:val="24"/>
                <w:szCs w:val="24"/>
              </w:rPr>
              <w:t xml:space="preserve"> 772 MERIDA MR011 3/6 з сидінням </w:t>
            </w:r>
            <w:proofErr w:type="spellStart"/>
            <w:r w:rsidRPr="00AB042A">
              <w:rPr>
                <w:rFonts w:ascii="Times New Roman" w:eastAsia="Times New Roman" w:hAnsi="Times New Roman"/>
                <w:sz w:val="24"/>
                <w:szCs w:val="24"/>
              </w:rPr>
              <w:t>поліпроп</w:t>
            </w:r>
            <w:proofErr w:type="spellEnd"/>
            <w:r w:rsidRPr="00AB042A">
              <w:rPr>
                <w:rFonts w:ascii="Times New Roman" w:eastAsia="Times New Roman" w:hAnsi="Times New Roman"/>
                <w:sz w:val="24"/>
                <w:szCs w:val="24"/>
              </w:rPr>
              <w:t xml:space="preserve">. метал. Кріплення – 2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Настінний комплект нижній 20*1/2 – 10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jc w:val="both"/>
              <w:rPr>
                <w:rFonts w:ascii="Times New Roman" w:eastAsia="Times New Roman" w:hAnsi="Times New Roman"/>
                <w:sz w:val="24"/>
                <w:szCs w:val="24"/>
              </w:rPr>
            </w:pPr>
            <w:r w:rsidRPr="00AB042A">
              <w:rPr>
                <w:rFonts w:ascii="Times New Roman" w:eastAsia="Times New Roman" w:hAnsi="Times New Roman"/>
                <w:sz w:val="24"/>
                <w:szCs w:val="24"/>
              </w:rPr>
              <w:t xml:space="preserve">Сидіння д/унітазу СУ8М – 5 </w:t>
            </w:r>
            <w:proofErr w:type="spellStart"/>
            <w:r w:rsidRPr="00AB042A">
              <w:rPr>
                <w:rFonts w:ascii="Times New Roman" w:eastAsia="Times New Roman" w:hAnsi="Times New Roman"/>
                <w:sz w:val="24"/>
                <w:szCs w:val="24"/>
              </w:rPr>
              <w:t>шт</w:t>
            </w:r>
            <w:proofErr w:type="spellEnd"/>
          </w:p>
          <w:p w:rsidR="00AB042A" w:rsidRPr="00AB042A" w:rsidRDefault="00AB042A" w:rsidP="00AB042A">
            <w:pPr>
              <w:jc w:val="both"/>
              <w:rPr>
                <w:color w:val="000000"/>
                <w:sz w:val="24"/>
                <w:szCs w:val="24"/>
              </w:rPr>
            </w:pPr>
            <w:r w:rsidRPr="00AB042A">
              <w:rPr>
                <w:rFonts w:ascii="Times New Roman" w:eastAsia="Times New Roman" w:hAnsi="Times New Roman"/>
                <w:sz w:val="24"/>
                <w:szCs w:val="24"/>
              </w:rPr>
              <w:t xml:space="preserve">Інсталяція в комплекті </w:t>
            </w:r>
            <w:proofErr w:type="spellStart"/>
            <w:r w:rsidRPr="00AB042A">
              <w:rPr>
                <w:rFonts w:ascii="Times New Roman" w:eastAsia="Times New Roman" w:hAnsi="Times New Roman"/>
                <w:sz w:val="24"/>
                <w:szCs w:val="24"/>
              </w:rPr>
              <w:t>Церезіт</w:t>
            </w:r>
            <w:proofErr w:type="spellEnd"/>
            <w:r w:rsidRPr="00AB042A">
              <w:rPr>
                <w:rFonts w:ascii="Times New Roman" w:eastAsia="Times New Roman" w:hAnsi="Times New Roman"/>
                <w:sz w:val="24"/>
                <w:szCs w:val="24"/>
              </w:rPr>
              <w:t xml:space="preserve"> – 1 </w:t>
            </w:r>
            <w:proofErr w:type="spellStart"/>
            <w:r w:rsidRPr="00AB042A">
              <w:rPr>
                <w:rFonts w:ascii="Times New Roman" w:eastAsia="Times New Roman" w:hAnsi="Times New Roman"/>
                <w:sz w:val="24"/>
                <w:szCs w:val="24"/>
              </w:rPr>
              <w:t>шт</w:t>
            </w:r>
            <w:proofErr w:type="spellEnd"/>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lastRenderedPageBreak/>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sz w:val="24"/>
                <w:szCs w:val="24"/>
                <w:highlight w:val="white"/>
              </w:rPr>
              <w:lastRenderedPageBreak/>
              <w:t xml:space="preserve">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13549">
              <w:rPr>
                <w:rFonts w:ascii="Times New Roman" w:eastAsia="Times New Roman" w:hAnsi="Times New Roman" w:cs="Times New Roman"/>
                <w:b/>
                <w:sz w:val="24"/>
                <w:szCs w:val="24"/>
                <w:highlight w:val="red"/>
              </w:rPr>
              <w:t>10</w:t>
            </w:r>
            <w:r w:rsidR="00224363" w:rsidRPr="00793429">
              <w:rPr>
                <w:rFonts w:ascii="Times New Roman" w:eastAsia="Times New Roman" w:hAnsi="Times New Roman" w:cs="Times New Roman"/>
                <w:b/>
                <w:sz w:val="24"/>
                <w:szCs w:val="24"/>
                <w:highlight w:val="red"/>
              </w:rPr>
              <w:t>.0</w:t>
            </w:r>
            <w:r w:rsidR="00513549">
              <w:rPr>
                <w:rFonts w:ascii="Times New Roman" w:eastAsia="Times New Roman" w:hAnsi="Times New Roman" w:cs="Times New Roman"/>
                <w:b/>
                <w:sz w:val="24"/>
                <w:szCs w:val="24"/>
                <w:highlight w:val="red"/>
              </w:rPr>
              <w:t>6</w:t>
            </w:r>
            <w:r w:rsidR="00224363" w:rsidRPr="00793429">
              <w:rPr>
                <w:rFonts w:ascii="Times New Roman" w:eastAsia="Times New Roman" w:hAnsi="Times New Roman" w:cs="Times New Roman"/>
                <w:b/>
                <w:sz w:val="24"/>
                <w:szCs w:val="24"/>
                <w:highlight w:val="red"/>
              </w:rPr>
              <w:t>.2023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color w:val="00B050"/>
                <w:sz w:val="24"/>
                <w:szCs w:val="24"/>
                <w:highlight w:val="white"/>
              </w:rPr>
              <w:lastRenderedPageBreak/>
              <w:t>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color w:val="00B050"/>
                <w:sz w:val="24"/>
                <w:szCs w:val="24"/>
                <w:highlight w:val="white"/>
              </w:rPr>
              <w:lastRenderedPageBreak/>
              <w:t>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color w:val="00B050"/>
                <w:sz w:val="24"/>
                <w:szCs w:val="24"/>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color w:val="00B050"/>
                <w:sz w:val="24"/>
                <w:szCs w:val="24"/>
                <w:highlight w:val="white"/>
              </w:rPr>
              <w:lastRenderedPageBreak/>
              <w:t>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w:t>
            </w:r>
            <w:r>
              <w:rPr>
                <w:rFonts w:ascii="Times New Roman" w:eastAsia="Times New Roman" w:hAnsi="Times New Roman" w:cs="Times New Roman"/>
                <w:color w:val="00B050"/>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B050"/>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Pr>
          <w:rFonts w:ascii="Times New Roman" w:eastAsia="Times New Roman" w:hAnsi="Times New Roman" w:cs="Times New Roman"/>
          <w:sz w:val="20"/>
          <w:szCs w:val="20"/>
          <w:highlight w:val="yellow"/>
        </w:rPr>
        <w:lastRenderedPageBreak/>
        <w:t xml:space="preserve">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0"/>
                <w:szCs w:val="20"/>
                <w:highlight w:val="white"/>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Pr>
                <w:rFonts w:ascii="Times New Roman" w:eastAsia="Times New Roman" w:hAnsi="Times New Roman" w:cs="Times New Roman"/>
                <w:sz w:val="20"/>
                <w:szCs w:val="20"/>
                <w:highlight w:val="white"/>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653ECD">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653ECD">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653ECD">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653ECD">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653ECD">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1473FC">
      <w:pPr>
        <w:spacing w:after="0"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1473FC">
      <w:pPr>
        <w:spacing w:after="0"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1473FC" w:rsidRDefault="005508ED" w:rsidP="001473FC">
      <w:pPr>
        <w:pStyle w:val="1"/>
        <w:shd w:val="clear" w:color="auto" w:fill="FFFFFF"/>
        <w:spacing w:before="0" w:after="0" w:line="240" w:lineRule="auto"/>
        <w:textAlignment w:val="baseline"/>
        <w:rPr>
          <w:rFonts w:ascii="Times New Roman" w:hAnsi="Times New Roman"/>
          <w:b w:val="0"/>
          <w:sz w:val="24"/>
          <w:szCs w:val="24"/>
          <w:lang w:eastAsia="uk-UA"/>
        </w:rPr>
      </w:pPr>
      <w:r w:rsidRPr="00F84B3D">
        <w:rPr>
          <w:rFonts w:ascii="Times New Roman" w:hAnsi="Times New Roman"/>
          <w:b w:val="0"/>
          <w:sz w:val="24"/>
          <w:szCs w:val="24"/>
          <w:lang w:eastAsia="uk-UA"/>
        </w:rPr>
        <w:t xml:space="preserve">Предмет закупівлі: </w:t>
      </w:r>
    </w:p>
    <w:p w:rsidR="005508ED" w:rsidRPr="00006F95" w:rsidRDefault="005508ED" w:rsidP="001473FC">
      <w:pPr>
        <w:pStyle w:val="1"/>
        <w:shd w:val="clear" w:color="auto" w:fill="FFFFFF"/>
        <w:spacing w:before="0" w:after="0" w:line="240" w:lineRule="auto"/>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00AB042A" w:rsidRPr="00AB042A">
        <w:rPr>
          <w:rFonts w:ascii="Times New Roman" w:eastAsia="Times New Roman" w:hAnsi="Times New Roman" w:cs="Times New Roman"/>
          <w:sz w:val="24"/>
          <w:szCs w:val="24"/>
        </w:rPr>
        <w:t>44410000-7 Вироби для ванної кімнати та кухні (Санітарна техніка)</w:t>
      </w:r>
    </w:p>
    <w:p w:rsidR="005508ED" w:rsidRDefault="005508ED" w:rsidP="001473FC">
      <w:pPr>
        <w:widowControl w:val="0"/>
        <w:autoSpaceDE w:val="0"/>
        <w:autoSpaceDN w:val="0"/>
        <w:adjustRightInd w:val="0"/>
        <w:spacing w:after="0" w:line="240" w:lineRule="auto"/>
        <w:ind w:firstLine="540"/>
        <w:jc w:val="center"/>
        <w:rPr>
          <w:rFonts w:ascii="Times New Roman" w:hAnsi="Times New Roman"/>
          <w:color w:val="FF0000"/>
          <w:sz w:val="24"/>
          <w:szCs w:val="24"/>
        </w:rPr>
      </w:pPr>
    </w:p>
    <w:tbl>
      <w:tblPr>
        <w:tblW w:w="94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84"/>
        <w:gridCol w:w="1337"/>
        <w:gridCol w:w="1418"/>
      </w:tblGrid>
      <w:tr w:rsidR="005508ED" w:rsidRPr="00006F95" w:rsidTr="005508ED">
        <w:trPr>
          <w:trHeight w:val="705"/>
        </w:trPr>
        <w:tc>
          <w:tcPr>
            <w:tcW w:w="594" w:type="dxa"/>
            <w:shd w:val="clear" w:color="auto" w:fill="auto"/>
            <w:vAlign w:val="center"/>
            <w:hideMark/>
          </w:tcPr>
          <w:p w:rsidR="005508ED" w:rsidRPr="00006F95" w:rsidRDefault="005508ED" w:rsidP="001473FC">
            <w:pPr>
              <w:spacing w:after="0" w:line="240" w:lineRule="auto"/>
              <w:rPr>
                <w:rFonts w:ascii="Times New Roman" w:eastAsia="Times New Roman" w:hAnsi="Times New Roman" w:cs="Times New Roman"/>
                <w:b/>
                <w:color w:val="000000"/>
                <w:sz w:val="24"/>
                <w:szCs w:val="24"/>
              </w:rPr>
            </w:pPr>
            <w:r w:rsidRPr="00006F95">
              <w:rPr>
                <w:rFonts w:ascii="Times New Roman" w:eastAsia="Times New Roman" w:hAnsi="Times New Roman" w:cs="Times New Roman"/>
                <w:b/>
                <w:color w:val="000000"/>
                <w:sz w:val="24"/>
                <w:szCs w:val="24"/>
              </w:rPr>
              <w:t>№ п/п</w:t>
            </w:r>
          </w:p>
        </w:tc>
        <w:tc>
          <w:tcPr>
            <w:tcW w:w="6084" w:type="dxa"/>
            <w:shd w:val="clear" w:color="auto" w:fill="auto"/>
            <w:noWrap/>
            <w:vAlign w:val="bottom"/>
            <w:hideMark/>
          </w:tcPr>
          <w:p w:rsidR="005508ED" w:rsidRPr="00006F95" w:rsidRDefault="005508ED" w:rsidP="001473FC">
            <w:pPr>
              <w:spacing w:after="0" w:line="240" w:lineRule="auto"/>
              <w:rPr>
                <w:rFonts w:ascii="Times New Roman" w:eastAsia="Times New Roman" w:hAnsi="Times New Roman" w:cs="Times New Roman"/>
                <w:b/>
                <w:color w:val="000000"/>
                <w:sz w:val="24"/>
                <w:szCs w:val="24"/>
              </w:rPr>
            </w:pPr>
            <w:r w:rsidRPr="00006F95">
              <w:rPr>
                <w:rFonts w:ascii="Times New Roman" w:eastAsia="Times New Roman" w:hAnsi="Times New Roman" w:cs="Times New Roman"/>
                <w:b/>
                <w:color w:val="000000"/>
                <w:sz w:val="24"/>
                <w:szCs w:val="24"/>
              </w:rPr>
              <w:t>Назва матеріалу</w:t>
            </w:r>
          </w:p>
        </w:tc>
        <w:tc>
          <w:tcPr>
            <w:tcW w:w="1337" w:type="dxa"/>
            <w:shd w:val="clear" w:color="auto" w:fill="auto"/>
            <w:vAlign w:val="bottom"/>
            <w:hideMark/>
          </w:tcPr>
          <w:p w:rsidR="005508ED" w:rsidRPr="00006F95" w:rsidRDefault="005508ED" w:rsidP="001473FC">
            <w:pPr>
              <w:spacing w:after="0" w:line="240" w:lineRule="auto"/>
              <w:rPr>
                <w:rFonts w:ascii="Times New Roman" w:eastAsia="Times New Roman" w:hAnsi="Times New Roman" w:cs="Times New Roman"/>
                <w:b/>
                <w:color w:val="000000"/>
                <w:sz w:val="24"/>
                <w:szCs w:val="24"/>
              </w:rPr>
            </w:pPr>
            <w:r w:rsidRPr="00612AB4">
              <w:rPr>
                <w:rFonts w:ascii="Times New Roman" w:eastAsia="Times New Roman" w:hAnsi="Times New Roman" w:cs="Times New Roman"/>
                <w:b/>
                <w:color w:val="000000"/>
                <w:sz w:val="24"/>
                <w:szCs w:val="24"/>
              </w:rPr>
              <w:t>Одиниця</w:t>
            </w:r>
            <w:r w:rsidRPr="00006F95">
              <w:rPr>
                <w:rFonts w:ascii="Times New Roman" w:eastAsia="Times New Roman" w:hAnsi="Times New Roman" w:cs="Times New Roman"/>
                <w:b/>
                <w:color w:val="000000"/>
                <w:sz w:val="24"/>
                <w:szCs w:val="24"/>
              </w:rPr>
              <w:t xml:space="preserve"> вим</w:t>
            </w:r>
            <w:r w:rsidRPr="00612AB4">
              <w:rPr>
                <w:rFonts w:ascii="Times New Roman" w:eastAsia="Times New Roman" w:hAnsi="Times New Roman" w:cs="Times New Roman"/>
                <w:b/>
                <w:color w:val="000000"/>
                <w:sz w:val="24"/>
                <w:szCs w:val="24"/>
              </w:rPr>
              <w:t xml:space="preserve">іру </w:t>
            </w:r>
          </w:p>
        </w:tc>
        <w:tc>
          <w:tcPr>
            <w:tcW w:w="1418" w:type="dxa"/>
            <w:shd w:val="clear" w:color="auto" w:fill="auto"/>
            <w:vAlign w:val="bottom"/>
            <w:hideMark/>
          </w:tcPr>
          <w:p w:rsidR="005508ED" w:rsidRPr="00006F95" w:rsidRDefault="005508ED" w:rsidP="001473FC">
            <w:pPr>
              <w:spacing w:after="0" w:line="240" w:lineRule="auto"/>
              <w:rPr>
                <w:rFonts w:ascii="Times New Roman" w:eastAsia="Times New Roman" w:hAnsi="Times New Roman" w:cs="Times New Roman"/>
                <w:b/>
                <w:color w:val="000000"/>
                <w:sz w:val="24"/>
                <w:szCs w:val="24"/>
              </w:rPr>
            </w:pPr>
            <w:r w:rsidRPr="00612AB4">
              <w:rPr>
                <w:rFonts w:ascii="Times New Roman" w:eastAsia="Times New Roman" w:hAnsi="Times New Roman" w:cs="Times New Roman"/>
                <w:b/>
                <w:color w:val="000000"/>
                <w:sz w:val="24"/>
                <w:szCs w:val="24"/>
              </w:rPr>
              <w:t>Кількі</w:t>
            </w:r>
            <w:r w:rsidRPr="00006F95">
              <w:rPr>
                <w:rFonts w:ascii="Times New Roman" w:eastAsia="Times New Roman" w:hAnsi="Times New Roman" w:cs="Times New Roman"/>
                <w:b/>
                <w:color w:val="000000"/>
                <w:sz w:val="24"/>
                <w:szCs w:val="24"/>
              </w:rPr>
              <w:t>сть</w:t>
            </w:r>
          </w:p>
        </w:tc>
      </w:tr>
      <w:tr w:rsidR="00AB042A" w:rsidRPr="00006F95" w:rsidTr="00653ECD">
        <w:trPr>
          <w:trHeight w:val="360"/>
        </w:trPr>
        <w:tc>
          <w:tcPr>
            <w:tcW w:w="594" w:type="dxa"/>
            <w:shd w:val="clear" w:color="auto" w:fill="auto"/>
            <w:noWrap/>
            <w:vAlign w:val="bottom"/>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Умивальник ЕКО 55</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r>
      <w:tr w:rsidR="00AB042A" w:rsidRPr="00006F95" w:rsidTr="00653ECD">
        <w:trPr>
          <w:trHeight w:val="360"/>
        </w:trPr>
        <w:tc>
          <w:tcPr>
            <w:tcW w:w="594" w:type="dxa"/>
            <w:shd w:val="clear" w:color="auto" w:fill="auto"/>
            <w:noWrap/>
            <w:vAlign w:val="bottom"/>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2</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П'єдестал DECO</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r>
      <w:tr w:rsidR="00AB042A" w:rsidRPr="00006F95" w:rsidTr="00653ECD">
        <w:trPr>
          <w:trHeight w:val="360"/>
        </w:trPr>
        <w:tc>
          <w:tcPr>
            <w:tcW w:w="594" w:type="dxa"/>
            <w:shd w:val="clear" w:color="auto" w:fill="auto"/>
            <w:noWrap/>
            <w:vAlign w:val="bottom"/>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Змішувач ZEGOR DAK1-A827</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6</w:t>
            </w:r>
          </w:p>
        </w:tc>
      </w:tr>
      <w:tr w:rsidR="00AB042A" w:rsidRPr="00006F95" w:rsidTr="00653ECD">
        <w:trPr>
          <w:trHeight w:val="360"/>
        </w:trPr>
        <w:tc>
          <w:tcPr>
            <w:tcW w:w="594" w:type="dxa"/>
            <w:shd w:val="clear" w:color="auto" w:fill="auto"/>
            <w:noWrap/>
            <w:vAlign w:val="bottom"/>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4</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 xml:space="preserve">Сифон для умивальника та мийки з </w:t>
            </w:r>
            <w:proofErr w:type="spellStart"/>
            <w:r w:rsidRPr="00AB042A">
              <w:rPr>
                <w:rFonts w:ascii="Times New Roman" w:hAnsi="Times New Roman" w:cs="Times New Roman"/>
                <w:color w:val="000000"/>
                <w:sz w:val="24"/>
                <w:szCs w:val="24"/>
              </w:rPr>
              <w:t>гофротрубою</w:t>
            </w:r>
            <w:proofErr w:type="spellEnd"/>
            <w:r w:rsidRPr="00AB042A">
              <w:rPr>
                <w:rFonts w:ascii="Times New Roman" w:hAnsi="Times New Roman" w:cs="Times New Roman"/>
                <w:color w:val="000000"/>
                <w:sz w:val="24"/>
                <w:szCs w:val="24"/>
              </w:rPr>
              <w:t xml:space="preserve"> Т-1050</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10</w:t>
            </w:r>
          </w:p>
        </w:tc>
      </w:tr>
      <w:tr w:rsidR="00AB042A" w:rsidRPr="00006F95" w:rsidTr="00653ECD">
        <w:trPr>
          <w:trHeight w:val="360"/>
        </w:trPr>
        <w:tc>
          <w:tcPr>
            <w:tcW w:w="594" w:type="dxa"/>
            <w:shd w:val="clear" w:color="auto" w:fill="auto"/>
            <w:noWrap/>
            <w:vAlign w:val="bottom"/>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5</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Змішувач ZEGOR LEB7-B123 ванна</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3</w:t>
            </w:r>
          </w:p>
        </w:tc>
      </w:tr>
      <w:tr w:rsidR="00AB042A" w:rsidRPr="00006F95" w:rsidTr="00AB042A">
        <w:trPr>
          <w:trHeight w:val="609"/>
        </w:trPr>
        <w:tc>
          <w:tcPr>
            <w:tcW w:w="594" w:type="dxa"/>
            <w:shd w:val="clear" w:color="auto" w:fill="auto"/>
            <w:noWrap/>
            <w:vAlign w:val="bottom"/>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6</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Гофра</w:t>
            </w:r>
            <w:proofErr w:type="spellEnd"/>
            <w:r w:rsidRPr="00AB042A">
              <w:rPr>
                <w:rFonts w:ascii="Times New Roman" w:hAnsi="Times New Roman" w:cs="Times New Roman"/>
                <w:color w:val="000000"/>
                <w:sz w:val="24"/>
                <w:szCs w:val="24"/>
              </w:rPr>
              <w:t xml:space="preserve"> для унітаза </w:t>
            </w:r>
            <w:proofErr w:type="spellStart"/>
            <w:r w:rsidRPr="00AB042A">
              <w:rPr>
                <w:rFonts w:ascii="Times New Roman" w:hAnsi="Times New Roman" w:cs="Times New Roman"/>
                <w:color w:val="000000"/>
                <w:sz w:val="24"/>
                <w:szCs w:val="24"/>
              </w:rPr>
              <w:t>АНИ</w:t>
            </w:r>
            <w:proofErr w:type="spellEnd"/>
            <w:r w:rsidRPr="00AB042A">
              <w:rPr>
                <w:rFonts w:ascii="Times New Roman" w:hAnsi="Times New Roman" w:cs="Times New Roman"/>
                <w:color w:val="000000"/>
                <w:sz w:val="24"/>
                <w:szCs w:val="24"/>
              </w:rPr>
              <w:t xml:space="preserve"> К828 D-110мм довжина 23-500 мм</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2</w:t>
            </w:r>
          </w:p>
        </w:tc>
      </w:tr>
      <w:tr w:rsidR="00AB042A" w:rsidRPr="00006F95" w:rsidTr="00653ECD">
        <w:trPr>
          <w:trHeight w:val="360"/>
        </w:trPr>
        <w:tc>
          <w:tcPr>
            <w:tcW w:w="594" w:type="dxa"/>
            <w:shd w:val="clear" w:color="auto" w:fill="auto"/>
            <w:noWrap/>
            <w:vAlign w:val="bottom"/>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7</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Компакт</w:t>
            </w:r>
            <w:proofErr w:type="spellEnd"/>
            <w:r w:rsidRPr="00AB042A">
              <w:rPr>
                <w:rFonts w:ascii="Times New Roman" w:hAnsi="Times New Roman" w:cs="Times New Roman"/>
                <w:color w:val="000000"/>
                <w:sz w:val="24"/>
                <w:szCs w:val="24"/>
              </w:rPr>
              <w:t xml:space="preserve"> 772 MERIDA MR011 3/6 з сидінням </w:t>
            </w:r>
            <w:proofErr w:type="spellStart"/>
            <w:r w:rsidRPr="00AB042A">
              <w:rPr>
                <w:rFonts w:ascii="Times New Roman" w:hAnsi="Times New Roman" w:cs="Times New Roman"/>
                <w:color w:val="000000"/>
                <w:sz w:val="24"/>
                <w:szCs w:val="24"/>
              </w:rPr>
              <w:t>поліпроп</w:t>
            </w:r>
            <w:proofErr w:type="spellEnd"/>
            <w:r w:rsidRPr="00AB042A">
              <w:rPr>
                <w:rFonts w:ascii="Times New Roman" w:hAnsi="Times New Roman" w:cs="Times New Roman"/>
                <w:color w:val="000000"/>
                <w:sz w:val="24"/>
                <w:szCs w:val="24"/>
              </w:rPr>
              <w:t>. метал. кріплення</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2</w:t>
            </w:r>
          </w:p>
        </w:tc>
      </w:tr>
      <w:tr w:rsidR="00AB042A" w:rsidRPr="00006F95" w:rsidTr="00653ECD">
        <w:trPr>
          <w:trHeight w:val="360"/>
        </w:trPr>
        <w:tc>
          <w:tcPr>
            <w:tcW w:w="594" w:type="dxa"/>
            <w:shd w:val="clear" w:color="auto" w:fill="auto"/>
            <w:noWrap/>
            <w:vAlign w:val="bottom"/>
            <w:hideMark/>
          </w:tcPr>
          <w:p w:rsidR="00AB042A" w:rsidRPr="00AB042A" w:rsidRDefault="00653ECD" w:rsidP="001473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Настінний комплект нижній 20*1/2</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10</w:t>
            </w:r>
          </w:p>
        </w:tc>
      </w:tr>
      <w:tr w:rsidR="00AB042A" w:rsidRPr="00006F95" w:rsidTr="00653ECD">
        <w:trPr>
          <w:trHeight w:val="360"/>
        </w:trPr>
        <w:tc>
          <w:tcPr>
            <w:tcW w:w="594" w:type="dxa"/>
            <w:shd w:val="clear" w:color="auto" w:fill="auto"/>
            <w:noWrap/>
            <w:vAlign w:val="bottom"/>
            <w:hideMark/>
          </w:tcPr>
          <w:p w:rsidR="00AB042A" w:rsidRPr="00AB042A" w:rsidRDefault="00653ECD" w:rsidP="001473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Сидіння д/унітазу СУ8М</w:t>
            </w:r>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5</w:t>
            </w:r>
          </w:p>
        </w:tc>
      </w:tr>
      <w:tr w:rsidR="00AB042A" w:rsidRPr="00006F95" w:rsidTr="00653ECD">
        <w:trPr>
          <w:trHeight w:val="360"/>
        </w:trPr>
        <w:tc>
          <w:tcPr>
            <w:tcW w:w="594" w:type="dxa"/>
            <w:shd w:val="clear" w:color="auto" w:fill="auto"/>
            <w:noWrap/>
            <w:vAlign w:val="bottom"/>
            <w:hideMark/>
          </w:tcPr>
          <w:p w:rsidR="00AB042A" w:rsidRPr="00AB042A" w:rsidRDefault="00653ECD" w:rsidP="001473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084" w:type="dxa"/>
            <w:shd w:val="clear" w:color="auto" w:fill="auto"/>
            <w:noWrap/>
            <w:vAlign w:val="bottom"/>
            <w:hideMark/>
          </w:tcPr>
          <w:p w:rsidR="00AB042A" w:rsidRPr="00AB042A" w:rsidRDefault="00AB042A" w:rsidP="001473FC">
            <w:pPr>
              <w:spacing w:after="0" w:line="240" w:lineRule="auto"/>
              <w:jc w:val="both"/>
              <w:rPr>
                <w:rFonts w:ascii="Times New Roman" w:hAnsi="Times New Roman" w:cs="Times New Roman"/>
                <w:color w:val="000000"/>
                <w:sz w:val="24"/>
                <w:szCs w:val="24"/>
              </w:rPr>
            </w:pPr>
            <w:r w:rsidRPr="00AB042A">
              <w:rPr>
                <w:rFonts w:ascii="Times New Roman" w:hAnsi="Times New Roman" w:cs="Times New Roman"/>
                <w:color w:val="000000"/>
                <w:sz w:val="24"/>
                <w:szCs w:val="24"/>
              </w:rPr>
              <w:t xml:space="preserve">Інсталяція в комплекті </w:t>
            </w:r>
            <w:proofErr w:type="spellStart"/>
            <w:r w:rsidRPr="00AB042A">
              <w:rPr>
                <w:rFonts w:ascii="Times New Roman" w:hAnsi="Times New Roman" w:cs="Times New Roman"/>
                <w:color w:val="000000"/>
                <w:sz w:val="24"/>
                <w:szCs w:val="24"/>
              </w:rPr>
              <w:t>Церезіт</w:t>
            </w:r>
            <w:proofErr w:type="spellEnd"/>
          </w:p>
        </w:tc>
        <w:tc>
          <w:tcPr>
            <w:tcW w:w="1337"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proofErr w:type="spellStart"/>
            <w:r w:rsidRPr="00AB042A">
              <w:rPr>
                <w:rFonts w:ascii="Times New Roman" w:hAnsi="Times New Roman" w:cs="Times New Roman"/>
                <w:color w:val="000000"/>
                <w:sz w:val="24"/>
                <w:szCs w:val="24"/>
              </w:rPr>
              <w:t>шт</w:t>
            </w:r>
            <w:proofErr w:type="spellEnd"/>
          </w:p>
        </w:tc>
        <w:tc>
          <w:tcPr>
            <w:tcW w:w="1418" w:type="dxa"/>
            <w:shd w:val="clear" w:color="auto" w:fill="auto"/>
            <w:noWrap/>
            <w:vAlign w:val="center"/>
            <w:hideMark/>
          </w:tcPr>
          <w:p w:rsidR="00AB042A" w:rsidRPr="00AB042A" w:rsidRDefault="00AB042A" w:rsidP="001473FC">
            <w:pPr>
              <w:spacing w:after="0" w:line="240" w:lineRule="auto"/>
              <w:jc w:val="center"/>
              <w:rPr>
                <w:rFonts w:ascii="Times New Roman" w:hAnsi="Times New Roman" w:cs="Times New Roman"/>
                <w:color w:val="000000"/>
                <w:sz w:val="24"/>
                <w:szCs w:val="24"/>
              </w:rPr>
            </w:pPr>
            <w:r w:rsidRPr="00AB042A">
              <w:rPr>
                <w:rFonts w:ascii="Times New Roman" w:hAnsi="Times New Roman" w:cs="Times New Roman"/>
                <w:color w:val="000000"/>
                <w:sz w:val="24"/>
                <w:szCs w:val="24"/>
              </w:rPr>
              <w:t>1</w:t>
            </w:r>
          </w:p>
        </w:tc>
      </w:tr>
    </w:tbl>
    <w:p w:rsidR="005508ED" w:rsidRPr="004968B3" w:rsidRDefault="005508ED" w:rsidP="001473FC">
      <w:pPr>
        <w:pStyle w:val="xfmc1"/>
        <w:spacing w:before="0" w:beforeAutospacing="0" w:after="0" w:afterAutospacing="0"/>
        <w:ind w:left="349"/>
        <w:rPr>
          <w:b/>
          <w:lang w:val="uk-UA"/>
        </w:rPr>
      </w:pPr>
    </w:p>
    <w:p w:rsidR="005508ED" w:rsidRPr="00612AB4" w:rsidRDefault="005508ED" w:rsidP="001473FC">
      <w:pPr>
        <w:shd w:val="clear" w:color="auto" w:fill="FFFFFF"/>
        <w:spacing w:after="0" w:line="240" w:lineRule="auto"/>
        <w:ind w:firstLine="708"/>
        <w:jc w:val="both"/>
        <w:rPr>
          <w:rFonts w:ascii="Times New Roman" w:eastAsia="Times New Roman" w:hAnsi="Times New Roman"/>
          <w:sz w:val="24"/>
          <w:szCs w:val="24"/>
        </w:rPr>
      </w:pPr>
      <w:r>
        <w:rPr>
          <w:rFonts w:ascii="Times New Roman" w:hAnsi="Times New Roman"/>
          <w:b/>
          <w:sz w:val="26"/>
          <w:szCs w:val="26"/>
        </w:rPr>
        <w:t>Прим.</w:t>
      </w:r>
      <w:r w:rsidRPr="00673F1C">
        <w:rPr>
          <w:rFonts w:ascii="Times New Roman" w:hAnsi="Times New Roman"/>
          <w:b/>
          <w:sz w:val="26"/>
          <w:szCs w:val="26"/>
        </w:rPr>
        <w:t xml:space="preserve">: </w:t>
      </w:r>
      <w:r w:rsidRPr="003164AE">
        <w:rPr>
          <w:rFonts w:ascii="Times New Roman" w:hAnsi="Times New Roman"/>
          <w:b/>
          <w:sz w:val="26"/>
          <w:szCs w:val="26"/>
        </w:rPr>
        <w:t xml:space="preserve">постачальник здійснює доставку та розвантаження товару за адресою м. Суми, вул. Марко Вовчок, 2, для </w:t>
      </w:r>
      <w:r w:rsidRPr="003164AE">
        <w:rPr>
          <w:rFonts w:ascii="Times New Roman" w:eastAsia="Times New Roman" w:hAnsi="Times New Roman"/>
          <w:b/>
          <w:sz w:val="26"/>
          <w:szCs w:val="26"/>
        </w:rPr>
        <w:t xml:space="preserve">КНП </w:t>
      </w:r>
      <w:r w:rsidRPr="003164AE">
        <w:rPr>
          <w:rFonts w:ascii="Times New Roman" w:hAnsi="Times New Roman"/>
          <w:b/>
          <w:sz w:val="26"/>
          <w:szCs w:val="26"/>
        </w:rPr>
        <w:t>«Клінічна лікарня Святого Пантелеймона» Сумської міської ради.</w:t>
      </w:r>
      <w:r>
        <w:rPr>
          <w:rFonts w:ascii="Times New Roman" w:hAnsi="Times New Roman"/>
          <w:b/>
          <w:sz w:val="26"/>
          <w:szCs w:val="26"/>
        </w:rPr>
        <w:t xml:space="preserve"> </w:t>
      </w:r>
      <w:r w:rsidRPr="00612AB4">
        <w:rPr>
          <w:rFonts w:ascii="Times New Roman" w:eastAsia="Times New Roman" w:hAnsi="Times New Roman"/>
          <w:b/>
          <w:sz w:val="26"/>
          <w:szCs w:val="26"/>
        </w:rPr>
        <w:t>Ціна доставки та розвантаження входить у ціну товару</w:t>
      </w:r>
      <w:r w:rsidRPr="00612AB4">
        <w:rPr>
          <w:rFonts w:ascii="Times New Roman" w:eastAsia="Times New Roman" w:hAnsi="Times New Roman"/>
          <w:sz w:val="24"/>
          <w:szCs w:val="24"/>
        </w:rPr>
        <w:t xml:space="preserve">.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612AB4">
        <w:rPr>
          <w:rFonts w:ascii="Times New Roman" w:eastAsia="Times New Roman" w:hAnsi="Times New Roman"/>
          <w:b/>
          <w:sz w:val="24"/>
          <w:szCs w:val="24"/>
        </w:rPr>
        <w:t>та розвантажуватися</w:t>
      </w:r>
      <w:r w:rsidRPr="00612AB4">
        <w:rPr>
          <w:rFonts w:ascii="Times New Roman" w:eastAsia="Times New Roman" w:hAnsi="Times New Roman"/>
          <w:sz w:val="24"/>
          <w:szCs w:val="24"/>
        </w:rPr>
        <w:t xml:space="preserve"> за рахунок постачальника. </w:t>
      </w:r>
    </w:p>
    <w:p w:rsidR="005508ED" w:rsidRPr="00612AB4" w:rsidRDefault="005508ED" w:rsidP="001473FC">
      <w:pPr>
        <w:shd w:val="clear" w:color="auto" w:fill="FFFFFF"/>
        <w:spacing w:after="0" w:line="240" w:lineRule="auto"/>
        <w:jc w:val="both"/>
        <w:rPr>
          <w:rFonts w:ascii="Times New Roman" w:eastAsia="Times New Roman" w:hAnsi="Times New Roman"/>
          <w:sz w:val="24"/>
          <w:szCs w:val="24"/>
        </w:rPr>
      </w:pPr>
      <w:r w:rsidRPr="00612AB4">
        <w:rPr>
          <w:rFonts w:ascii="Times New Roman" w:eastAsia="Times New Roman" w:hAnsi="Times New Roman"/>
          <w:sz w:val="24"/>
          <w:szCs w:val="24"/>
        </w:rPr>
        <w:t xml:space="preserve">     </w:t>
      </w:r>
      <w:r w:rsidRPr="00612AB4">
        <w:rPr>
          <w:rFonts w:ascii="Times New Roman" w:hAnsi="Times New Roman"/>
          <w:sz w:val="24"/>
          <w:szCs w:val="24"/>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612AB4">
        <w:rPr>
          <w:rFonts w:ascii="Times New Roman" w:eastAsia="Times New Roman" w:hAnsi="Times New Roman"/>
          <w:sz w:val="24"/>
          <w:szCs w:val="24"/>
        </w:rPr>
        <w:t>При поставці товару повинна дотримуватись цілісність упаковки з необхідними реквізитами виробника.</w:t>
      </w:r>
    </w:p>
    <w:p w:rsidR="005508ED" w:rsidRPr="00612AB4" w:rsidRDefault="005508ED" w:rsidP="001473FC">
      <w:pPr>
        <w:shd w:val="clear" w:color="auto" w:fill="FFFFFF"/>
        <w:spacing w:after="0" w:line="240" w:lineRule="auto"/>
        <w:ind w:firstLine="708"/>
        <w:jc w:val="both"/>
        <w:rPr>
          <w:rFonts w:ascii="Times New Roman" w:eastAsia="Times New Roman" w:hAnsi="Times New Roman"/>
          <w:b/>
          <w:sz w:val="26"/>
          <w:szCs w:val="26"/>
        </w:rPr>
      </w:pPr>
      <w:r w:rsidRPr="00612AB4">
        <w:rPr>
          <w:rFonts w:ascii="Times New Roman" w:hAnsi="Times New Roman"/>
          <w:sz w:val="24"/>
          <w:szCs w:val="24"/>
        </w:rPr>
        <w:t xml:space="preserve">     Гарантійний термін експлуатації товару – не менше 1 року з дати постачання товару на склад замовника при дотриманні умов транспортування та зберігання.</w:t>
      </w:r>
    </w:p>
    <w:p w:rsidR="005508ED" w:rsidRPr="00C21ED8" w:rsidRDefault="005508ED" w:rsidP="001473FC">
      <w:pPr>
        <w:pStyle w:val="xfmc1"/>
        <w:spacing w:before="0" w:beforeAutospacing="0" w:after="0" w:afterAutospacing="0"/>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1473FC">
      <w:pPr>
        <w:spacing w:after="0"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CC" w:rsidRDefault="00F922CC" w:rsidP="00592BD0">
      <w:pPr>
        <w:spacing w:after="0" w:line="240" w:lineRule="auto"/>
      </w:pPr>
      <w:r>
        <w:separator/>
      </w:r>
    </w:p>
  </w:endnote>
  <w:endnote w:type="continuationSeparator" w:id="0">
    <w:p w:rsidR="00F922CC" w:rsidRDefault="00F922CC"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CD" w:rsidRDefault="00653E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6FCB">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CD" w:rsidRDefault="00653E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CC" w:rsidRDefault="00F922CC" w:rsidP="00592BD0">
      <w:pPr>
        <w:spacing w:after="0" w:line="240" w:lineRule="auto"/>
      </w:pPr>
      <w:r>
        <w:separator/>
      </w:r>
    </w:p>
  </w:footnote>
  <w:footnote w:type="continuationSeparator" w:id="0">
    <w:p w:rsidR="00F922CC" w:rsidRDefault="00F922CC"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CD" w:rsidRDefault="00653EC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4"/>
  </w:num>
  <w:num w:numId="4">
    <w:abstractNumId w:val="15"/>
  </w:num>
  <w:num w:numId="5">
    <w:abstractNumId w:val="4"/>
  </w:num>
  <w:num w:numId="6">
    <w:abstractNumId w:val="8"/>
  </w:num>
  <w:num w:numId="7">
    <w:abstractNumId w:val="1"/>
  </w:num>
  <w:num w:numId="8">
    <w:abstractNumId w:val="5"/>
  </w:num>
  <w:num w:numId="9">
    <w:abstractNumId w:val="11"/>
  </w:num>
  <w:num w:numId="10">
    <w:abstractNumId w:val="9"/>
  </w:num>
  <w:num w:numId="11">
    <w:abstractNumId w:val="2"/>
  </w:num>
  <w:num w:numId="12">
    <w:abstractNumId w:val="13"/>
  </w:num>
  <w:num w:numId="13">
    <w:abstractNumId w:val="0"/>
    <w:lvlOverride w:ilvl="0">
      <w:startOverride w:val="1"/>
    </w:lvlOverride>
  </w:num>
  <w:num w:numId="14">
    <w:abstractNumId w:val="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92BD0"/>
    <w:rsid w:val="000B379E"/>
    <w:rsid w:val="000B5796"/>
    <w:rsid w:val="000C0628"/>
    <w:rsid w:val="001473FC"/>
    <w:rsid w:val="00224363"/>
    <w:rsid w:val="002F02F7"/>
    <w:rsid w:val="00354118"/>
    <w:rsid w:val="00361B56"/>
    <w:rsid w:val="003B0E24"/>
    <w:rsid w:val="003B7F1A"/>
    <w:rsid w:val="00421592"/>
    <w:rsid w:val="004774A0"/>
    <w:rsid w:val="0049038B"/>
    <w:rsid w:val="004A2FED"/>
    <w:rsid w:val="004D76DD"/>
    <w:rsid w:val="00513549"/>
    <w:rsid w:val="005508ED"/>
    <w:rsid w:val="005636AA"/>
    <w:rsid w:val="005779D8"/>
    <w:rsid w:val="00592BD0"/>
    <w:rsid w:val="00653ECD"/>
    <w:rsid w:val="0066090F"/>
    <w:rsid w:val="007423B4"/>
    <w:rsid w:val="00793429"/>
    <w:rsid w:val="007E77DD"/>
    <w:rsid w:val="008150CD"/>
    <w:rsid w:val="00872ED4"/>
    <w:rsid w:val="00877624"/>
    <w:rsid w:val="00925E50"/>
    <w:rsid w:val="009F5C16"/>
    <w:rsid w:val="00A25186"/>
    <w:rsid w:val="00A61C7D"/>
    <w:rsid w:val="00AB042A"/>
    <w:rsid w:val="00AE1FAF"/>
    <w:rsid w:val="00B12789"/>
    <w:rsid w:val="00B26714"/>
    <w:rsid w:val="00B76FCB"/>
    <w:rsid w:val="00C06FA5"/>
    <w:rsid w:val="00C23737"/>
    <w:rsid w:val="00D85035"/>
    <w:rsid w:val="00E35B92"/>
    <w:rsid w:val="00E423D8"/>
    <w:rsid w:val="00E506EC"/>
    <w:rsid w:val="00E87396"/>
    <w:rsid w:val="00EA360C"/>
    <w:rsid w:val="00F307A8"/>
    <w:rsid w:val="00F922CC"/>
    <w:rsid w:val="00FF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43070596">
      <w:bodyDiv w:val="1"/>
      <w:marLeft w:val="0"/>
      <w:marRight w:val="0"/>
      <w:marTop w:val="0"/>
      <w:marBottom w:val="0"/>
      <w:divBdr>
        <w:top w:val="none" w:sz="0" w:space="0" w:color="auto"/>
        <w:left w:val="none" w:sz="0" w:space="0" w:color="auto"/>
        <w:bottom w:val="none" w:sz="0" w:space="0" w:color="auto"/>
        <w:right w:val="none" w:sz="0" w:space="0" w:color="auto"/>
      </w:divBdr>
    </w:div>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499008079">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722828414">
      <w:bodyDiv w:val="1"/>
      <w:marLeft w:val="0"/>
      <w:marRight w:val="0"/>
      <w:marTop w:val="0"/>
      <w:marBottom w:val="0"/>
      <w:divBdr>
        <w:top w:val="none" w:sz="0" w:space="0" w:color="auto"/>
        <w:left w:val="none" w:sz="0" w:space="0" w:color="auto"/>
        <w:bottom w:val="none" w:sz="0" w:space="0" w:color="auto"/>
        <w:right w:val="none" w:sz="0" w:space="0" w:color="auto"/>
      </w:divBdr>
    </w:div>
    <w:div w:id="859857180">
      <w:bodyDiv w:val="1"/>
      <w:marLeft w:val="0"/>
      <w:marRight w:val="0"/>
      <w:marTop w:val="0"/>
      <w:marBottom w:val="0"/>
      <w:divBdr>
        <w:top w:val="none" w:sz="0" w:space="0" w:color="auto"/>
        <w:left w:val="none" w:sz="0" w:space="0" w:color="auto"/>
        <w:bottom w:val="none" w:sz="0" w:space="0" w:color="auto"/>
        <w:right w:val="none" w:sz="0" w:space="0" w:color="auto"/>
      </w:divBdr>
    </w:div>
    <w:div w:id="910583920">
      <w:bodyDiv w:val="1"/>
      <w:marLeft w:val="0"/>
      <w:marRight w:val="0"/>
      <w:marTop w:val="0"/>
      <w:marBottom w:val="0"/>
      <w:divBdr>
        <w:top w:val="none" w:sz="0" w:space="0" w:color="auto"/>
        <w:left w:val="none" w:sz="0" w:space="0" w:color="auto"/>
        <w:bottom w:val="none" w:sz="0" w:space="0" w:color="auto"/>
        <w:right w:val="none" w:sz="0" w:space="0" w:color="auto"/>
      </w:divBdr>
    </w:div>
    <w:div w:id="1254631364">
      <w:bodyDiv w:val="1"/>
      <w:marLeft w:val="0"/>
      <w:marRight w:val="0"/>
      <w:marTop w:val="0"/>
      <w:marBottom w:val="0"/>
      <w:divBdr>
        <w:top w:val="none" w:sz="0" w:space="0" w:color="auto"/>
        <w:left w:val="none" w:sz="0" w:space="0" w:color="auto"/>
        <w:bottom w:val="none" w:sz="0" w:space="0" w:color="auto"/>
        <w:right w:val="none" w:sz="0" w:space="0" w:color="auto"/>
      </w:divBdr>
    </w:div>
    <w:div w:id="1345938042">
      <w:bodyDiv w:val="1"/>
      <w:marLeft w:val="0"/>
      <w:marRight w:val="0"/>
      <w:marTop w:val="0"/>
      <w:marBottom w:val="0"/>
      <w:divBdr>
        <w:top w:val="none" w:sz="0" w:space="0" w:color="auto"/>
        <w:left w:val="none" w:sz="0" w:space="0" w:color="auto"/>
        <w:bottom w:val="none" w:sz="0" w:space="0" w:color="auto"/>
        <w:right w:val="none" w:sz="0" w:space="0" w:color="auto"/>
      </w:divBdr>
    </w:div>
    <w:div w:id="1369374832">
      <w:bodyDiv w:val="1"/>
      <w:marLeft w:val="0"/>
      <w:marRight w:val="0"/>
      <w:marTop w:val="0"/>
      <w:marBottom w:val="0"/>
      <w:divBdr>
        <w:top w:val="none" w:sz="0" w:space="0" w:color="auto"/>
        <w:left w:val="none" w:sz="0" w:space="0" w:color="auto"/>
        <w:bottom w:val="none" w:sz="0" w:space="0" w:color="auto"/>
        <w:right w:val="none" w:sz="0" w:space="0" w:color="auto"/>
      </w:divBdr>
    </w:div>
    <w:div w:id="1625386296">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 w:id="173797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28CD33-B8CF-44D5-AA4E-37811E44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10992</Words>
  <Characters>62659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23</cp:revision>
  <cp:lastPrinted>2023-06-02T11:21:00Z</cp:lastPrinted>
  <dcterms:created xsi:type="dcterms:W3CDTF">2023-05-19T05:16:00Z</dcterms:created>
  <dcterms:modified xsi:type="dcterms:W3CDTF">2023-06-02T11:32:00Z</dcterms:modified>
</cp:coreProperties>
</file>