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4AC" w:rsidRDefault="00E454AC" w:rsidP="00E454AC">
      <w:pPr>
        <w:widowControl w:val="0"/>
        <w:suppressAutoHyphens/>
        <w:snapToGrid w:val="0"/>
        <w:spacing w:after="0" w:line="240" w:lineRule="auto"/>
        <w:jc w:val="right"/>
        <w:rPr>
          <w:rFonts w:ascii="Times New Roman" w:hAnsi="Times New Roman"/>
          <w:b/>
          <w:sz w:val="24"/>
          <w:szCs w:val="24"/>
          <w:lang w:val="uk-UA" w:eastAsia="zh-CN"/>
        </w:rPr>
      </w:pPr>
      <w:r>
        <w:rPr>
          <w:rFonts w:ascii="Times New Roman" w:hAnsi="Times New Roman"/>
          <w:b/>
          <w:sz w:val="24"/>
          <w:szCs w:val="24"/>
          <w:lang w:val="uk-UA" w:eastAsia="zh-CN"/>
        </w:rPr>
        <w:t xml:space="preserve">Додаток 2 </w:t>
      </w:r>
    </w:p>
    <w:p w:rsidR="00E454AC" w:rsidRDefault="00E454AC" w:rsidP="00E454AC">
      <w:pPr>
        <w:widowControl w:val="0"/>
        <w:suppressAutoHyphens/>
        <w:snapToGrid w:val="0"/>
        <w:spacing w:after="0" w:line="240" w:lineRule="auto"/>
        <w:jc w:val="right"/>
        <w:rPr>
          <w:rFonts w:ascii="Times New Roman" w:hAnsi="Times New Roman"/>
          <w:b/>
          <w:sz w:val="24"/>
          <w:szCs w:val="24"/>
          <w:lang w:val="uk-UA" w:eastAsia="zh-CN"/>
        </w:rPr>
      </w:pPr>
      <w:r>
        <w:rPr>
          <w:rFonts w:ascii="Times New Roman" w:hAnsi="Times New Roman"/>
          <w:b/>
          <w:sz w:val="24"/>
          <w:szCs w:val="24"/>
          <w:lang w:val="uk-UA" w:eastAsia="zh-CN"/>
        </w:rPr>
        <w:t>до тендерної документації</w:t>
      </w:r>
    </w:p>
    <w:p w:rsidR="00E454AC" w:rsidRDefault="00E454AC" w:rsidP="00591942">
      <w:pPr>
        <w:widowControl w:val="0"/>
        <w:suppressAutoHyphens/>
        <w:snapToGrid w:val="0"/>
        <w:spacing w:after="0" w:line="300" w:lineRule="auto"/>
        <w:jc w:val="center"/>
        <w:rPr>
          <w:rFonts w:ascii="Times New Roman" w:hAnsi="Times New Roman"/>
          <w:b/>
          <w:sz w:val="24"/>
          <w:szCs w:val="24"/>
          <w:lang w:val="uk-UA" w:eastAsia="zh-CN"/>
        </w:rPr>
      </w:pPr>
    </w:p>
    <w:p w:rsidR="00591942" w:rsidRPr="006343DB" w:rsidRDefault="00591942" w:rsidP="00591942">
      <w:pPr>
        <w:widowControl w:val="0"/>
        <w:suppressAutoHyphens/>
        <w:snapToGrid w:val="0"/>
        <w:spacing w:after="0" w:line="300" w:lineRule="auto"/>
        <w:jc w:val="center"/>
        <w:rPr>
          <w:rFonts w:ascii="Times New Roman" w:hAnsi="Times New Roman"/>
          <w:b/>
          <w:sz w:val="24"/>
          <w:szCs w:val="24"/>
          <w:lang w:val="uk-UA" w:eastAsia="zh-CN"/>
        </w:rPr>
      </w:pPr>
      <w:r w:rsidRPr="006343DB">
        <w:rPr>
          <w:rFonts w:ascii="Times New Roman" w:hAnsi="Times New Roman"/>
          <w:b/>
          <w:sz w:val="24"/>
          <w:szCs w:val="24"/>
          <w:lang w:val="uk-UA" w:eastAsia="zh-CN"/>
        </w:rPr>
        <w:t>ТЕХНІЧНЕ ЗАДАННЯ</w:t>
      </w:r>
    </w:p>
    <w:p w:rsidR="00AC3E06" w:rsidRPr="006343DB" w:rsidRDefault="00AC3E06" w:rsidP="00591942">
      <w:pPr>
        <w:widowControl w:val="0"/>
        <w:suppressAutoHyphens/>
        <w:snapToGrid w:val="0"/>
        <w:spacing w:after="0" w:line="300" w:lineRule="auto"/>
        <w:jc w:val="center"/>
        <w:rPr>
          <w:rFonts w:ascii="Times New Roman" w:hAnsi="Times New Roman"/>
          <w:b/>
          <w:sz w:val="24"/>
          <w:szCs w:val="24"/>
          <w:lang w:val="uk-UA" w:eastAsia="zh-CN"/>
        </w:rPr>
      </w:pPr>
    </w:p>
    <w:p w:rsidR="00591942" w:rsidRDefault="00E454AC" w:rsidP="009C7BD2">
      <w:pPr>
        <w:spacing w:after="0" w:line="240" w:lineRule="auto"/>
        <w:rPr>
          <w:rFonts w:ascii="Times New Roman" w:hAnsi="Times New Roman"/>
          <w:b/>
          <w:bCs/>
          <w:sz w:val="24"/>
          <w:szCs w:val="24"/>
          <w:lang w:val="uk-UA"/>
        </w:rPr>
      </w:pPr>
      <w:r w:rsidRPr="00E454AC">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(Theophylline, combinations excl. Psycholeptics; Potassium chloride; Electrolytes in combination with other drugs; Pentoxifylline; Fluticasone; Electrolytes in combination with other drugs; Saccharated iron oxide; Arginine hydrochloride; Comb drug; Fluconazole; Citicoline; Ondansetron)</w:t>
      </w:r>
    </w:p>
    <w:p w:rsidR="000B61A4" w:rsidRPr="009C7BD2" w:rsidRDefault="000B61A4" w:rsidP="009C7BD2">
      <w:pPr>
        <w:spacing w:after="0" w:line="240" w:lineRule="auto"/>
        <w:rPr>
          <w:rFonts w:ascii="Times New Roman" w:hAnsi="Times New Roman"/>
          <w:sz w:val="24"/>
          <w:szCs w:val="24"/>
          <w:lang w:val="uk-UA"/>
        </w:rPr>
      </w:pPr>
    </w:p>
    <w:p w:rsidR="00591942" w:rsidRPr="006343DB" w:rsidRDefault="00591942" w:rsidP="005919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64" w:lineRule="auto"/>
        <w:ind w:firstLine="284"/>
        <w:jc w:val="center"/>
        <w:rPr>
          <w:rFonts w:ascii="Times New Roman" w:hAnsi="Times New Roman"/>
          <w:b/>
          <w:sz w:val="24"/>
          <w:szCs w:val="24"/>
          <w:lang w:val="uk-UA" w:eastAsia="zh-CN"/>
        </w:rPr>
      </w:pPr>
      <w:r w:rsidRPr="006343DB">
        <w:rPr>
          <w:rFonts w:ascii="Times New Roman" w:hAnsi="Times New Roman"/>
          <w:b/>
          <w:sz w:val="24"/>
          <w:szCs w:val="24"/>
          <w:lang w:val="uk-UA"/>
        </w:rPr>
        <w:t xml:space="preserve">РОЗДІЛ 1: </w:t>
      </w:r>
      <w:r w:rsidRPr="006343DB">
        <w:rPr>
          <w:rFonts w:ascii="Times New Roman" w:hAnsi="Times New Roman"/>
          <w:b/>
          <w:sz w:val="24"/>
          <w:szCs w:val="24"/>
          <w:lang w:val="uk-UA" w:eastAsia="zh-CN"/>
        </w:rPr>
        <w:t>ЗАГАЛЬНІ ВИМОГИ:</w:t>
      </w:r>
    </w:p>
    <w:p w:rsidR="00591942" w:rsidRPr="006343DB" w:rsidRDefault="00591942" w:rsidP="00591942">
      <w:pPr>
        <w:widowControl w:val="0"/>
        <w:suppressAutoHyphens/>
        <w:autoSpaceDE w:val="0"/>
        <w:spacing w:after="0" w:line="264" w:lineRule="auto"/>
        <w:ind w:firstLine="284"/>
        <w:jc w:val="both"/>
        <w:rPr>
          <w:rFonts w:ascii="Times New Roman" w:hAnsi="Times New Roman"/>
          <w:bCs/>
          <w:sz w:val="24"/>
          <w:szCs w:val="24"/>
          <w:lang w:val="uk-UA" w:eastAsia="zh-CN"/>
        </w:rPr>
      </w:pPr>
      <w:r w:rsidRPr="006343DB">
        <w:rPr>
          <w:rFonts w:ascii="Times New Roman" w:hAnsi="Times New Roman"/>
          <w:sz w:val="24"/>
          <w:szCs w:val="24"/>
          <w:lang w:val="uk-UA" w:eastAsia="zh-CN"/>
        </w:rPr>
        <w:t>1.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6343DB">
        <w:rPr>
          <w:rFonts w:ascii="Times New Roman" w:hAnsi="Times New Roman"/>
          <w:bCs/>
          <w:sz w:val="24"/>
          <w:szCs w:val="24"/>
          <w:lang w:val="uk-UA" w:eastAsia="zh-CN"/>
        </w:rPr>
        <w:t>.</w:t>
      </w:r>
    </w:p>
    <w:p w:rsidR="00591942" w:rsidRPr="006343DB" w:rsidRDefault="00591942" w:rsidP="00591942">
      <w:pPr>
        <w:widowControl w:val="0"/>
        <w:suppressAutoHyphens/>
        <w:autoSpaceDE w:val="0"/>
        <w:spacing w:after="0" w:line="264" w:lineRule="auto"/>
        <w:ind w:firstLine="284"/>
        <w:jc w:val="both"/>
        <w:rPr>
          <w:rFonts w:ascii="Times New Roman" w:hAnsi="Times New Roman"/>
          <w:sz w:val="24"/>
          <w:szCs w:val="24"/>
          <w:lang w:val="uk-UA" w:eastAsia="zh-CN"/>
        </w:rPr>
      </w:pPr>
      <w:r w:rsidRPr="006343DB">
        <w:rPr>
          <w:rFonts w:ascii="Times New Roman" w:hAnsi="Times New Roman"/>
          <w:sz w:val="24"/>
          <w:szCs w:val="24"/>
          <w:lang w:val="uk-UA" w:eastAsia="zh-CN"/>
        </w:rPr>
        <w:t>2.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w:t>
      </w:r>
      <w:r w:rsidRPr="006343DB">
        <w:rPr>
          <w:rFonts w:ascii="Times New Roman" w:hAnsi="Times New Roman"/>
          <w:spacing w:val="1"/>
          <w:sz w:val="24"/>
          <w:szCs w:val="24"/>
          <w:lang w:val="uk-UA" w:eastAsia="zh-CN"/>
        </w:rPr>
        <w:t xml:space="preserve">) </w:t>
      </w:r>
      <w:r w:rsidRPr="006343DB">
        <w:rPr>
          <w:rFonts w:ascii="Times New Roman" w:hAnsi="Times New Roman"/>
          <w:spacing w:val="2"/>
          <w:sz w:val="24"/>
          <w:szCs w:val="24"/>
          <w:lang w:val="uk-UA" w:eastAsia="zh-CN"/>
        </w:rPr>
        <w:t xml:space="preserve">наявність в учасника власних або орендованих </w:t>
      </w:r>
      <w:r w:rsidRPr="006343DB">
        <w:rPr>
          <w:rFonts w:ascii="Times New Roman" w:hAnsi="Times New Roman"/>
          <w:spacing w:val="1"/>
          <w:sz w:val="24"/>
          <w:szCs w:val="24"/>
          <w:lang w:val="uk-UA" w:eastAsia="zh-CN"/>
        </w:rPr>
        <w:t xml:space="preserve">складових приміщень та транспорту для забезпечення умов зберігання </w:t>
      </w:r>
      <w:r w:rsidRPr="006343DB">
        <w:rPr>
          <w:rFonts w:ascii="Times New Roman" w:hAnsi="Times New Roman"/>
          <w:sz w:val="24"/>
          <w:szCs w:val="24"/>
          <w:lang w:val="uk-UA" w:eastAsia="zh-CN"/>
        </w:rPr>
        <w:t>"холодовий ланцюг".</w:t>
      </w:r>
    </w:p>
    <w:p w:rsidR="00591942" w:rsidRPr="006343DB" w:rsidRDefault="00591942" w:rsidP="00591942">
      <w:pPr>
        <w:widowControl w:val="0"/>
        <w:suppressAutoHyphens/>
        <w:autoSpaceDE w:val="0"/>
        <w:spacing w:after="0" w:line="264" w:lineRule="auto"/>
        <w:ind w:firstLine="284"/>
        <w:jc w:val="both"/>
        <w:rPr>
          <w:rFonts w:ascii="Times New Roman" w:hAnsi="Times New Roman"/>
          <w:sz w:val="24"/>
          <w:szCs w:val="24"/>
          <w:lang w:val="uk-UA" w:eastAsia="zh-CN"/>
        </w:rPr>
      </w:pPr>
      <w:r w:rsidRPr="006343DB">
        <w:rPr>
          <w:rFonts w:ascii="Times New Roman" w:hAnsi="Times New Roman"/>
          <w:sz w:val="24"/>
          <w:szCs w:val="24"/>
          <w:lang w:val="uk-UA" w:eastAsia="zh-CN"/>
        </w:rPr>
        <w:t>3. 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біодоступним та біоеквівалентним в порівнянні з лікарським засобом, що є предметом закупівлі.</w:t>
      </w:r>
    </w:p>
    <w:p w:rsidR="00591942" w:rsidRPr="006343DB" w:rsidRDefault="00591942" w:rsidP="00591942">
      <w:pPr>
        <w:widowControl w:val="0"/>
        <w:suppressAutoHyphens/>
        <w:autoSpaceDE w:val="0"/>
        <w:spacing w:after="0" w:line="264" w:lineRule="auto"/>
        <w:ind w:firstLine="284"/>
        <w:jc w:val="both"/>
        <w:rPr>
          <w:rFonts w:ascii="Times New Roman" w:hAnsi="Times New Roman"/>
          <w:sz w:val="24"/>
          <w:szCs w:val="24"/>
          <w:lang w:val="uk-UA" w:eastAsia="zh-CN"/>
        </w:rPr>
      </w:pPr>
      <w:r w:rsidRPr="006343DB">
        <w:rPr>
          <w:rFonts w:ascii="Times New Roman" w:hAnsi="Times New Roman"/>
          <w:sz w:val="24"/>
          <w:szCs w:val="24"/>
          <w:lang w:val="uk-UA" w:eastAsia="zh-CN"/>
        </w:rPr>
        <w:t xml:space="preserve">4. </w:t>
      </w:r>
      <w:r w:rsidRPr="006343DB">
        <w:rPr>
          <w:rFonts w:ascii="Times New Roman" w:hAnsi="Times New Roman"/>
          <w:bCs/>
          <w:sz w:val="24"/>
          <w:szCs w:val="24"/>
          <w:lang w:val="uk-UA" w:eastAsia="zh-CN"/>
        </w:rPr>
        <w:t xml:space="preserve">Усі запропоновані лікарські засоби мають бути належним чином зареєстрованими </w:t>
      </w:r>
      <w:r w:rsidRPr="006343DB">
        <w:rPr>
          <w:rFonts w:ascii="Times New Roman" w:hAnsi="Times New Roman"/>
          <w:sz w:val="24"/>
          <w:szCs w:val="24"/>
          <w:lang w:val="uk-UA" w:eastAsia="zh-CN"/>
        </w:rPr>
        <w:t xml:space="preserve">в МОЗ України (подаються завірені належним чином </w:t>
      </w:r>
      <w:r w:rsidRPr="006343DB">
        <w:rPr>
          <w:rFonts w:ascii="Times New Roman" w:hAnsi="Times New Roman"/>
          <w:sz w:val="24"/>
          <w:szCs w:val="24"/>
          <w:u w:val="single"/>
          <w:lang w:val="uk-UA" w:eastAsia="zh-CN"/>
        </w:rPr>
        <w:t>копії реєстраційних посвідчень у складі тендерної пропозиції</w:t>
      </w:r>
      <w:r w:rsidRPr="006343DB">
        <w:rPr>
          <w:rFonts w:ascii="Times New Roman" w:hAnsi="Times New Roman"/>
          <w:sz w:val="24"/>
          <w:szCs w:val="24"/>
          <w:lang w:val="uk-UA" w:eastAsia="zh-CN"/>
        </w:rPr>
        <w:t>). Препарати повинні мати інструкції по використанню українською мовою.</w:t>
      </w:r>
    </w:p>
    <w:p w:rsidR="00591942" w:rsidRPr="006343DB" w:rsidRDefault="00591942" w:rsidP="00591942">
      <w:pPr>
        <w:spacing w:after="0" w:line="264" w:lineRule="auto"/>
        <w:ind w:firstLine="284"/>
        <w:contextualSpacing/>
        <w:jc w:val="both"/>
        <w:rPr>
          <w:rFonts w:ascii="Times New Roman" w:hAnsi="Times New Roman"/>
          <w:sz w:val="24"/>
          <w:szCs w:val="24"/>
          <w:lang w:val="uk-UA" w:eastAsia="uk-UA"/>
        </w:rPr>
      </w:pPr>
      <w:r w:rsidRPr="006343DB">
        <w:rPr>
          <w:rFonts w:ascii="Times New Roman" w:hAnsi="Times New Roman"/>
          <w:sz w:val="24"/>
          <w:szCs w:val="24"/>
          <w:lang w:val="uk-UA" w:eastAsia="uk-UA"/>
        </w:rPr>
        <w:t>4. Термін придатності лікарських засобів на момент поставки пови</w:t>
      </w:r>
      <w:r w:rsidR="00280E15" w:rsidRPr="006343DB">
        <w:rPr>
          <w:rFonts w:ascii="Times New Roman" w:hAnsi="Times New Roman"/>
          <w:sz w:val="24"/>
          <w:szCs w:val="24"/>
          <w:lang w:val="uk-UA" w:eastAsia="uk-UA"/>
        </w:rPr>
        <w:t>нен складати не менше 70</w:t>
      </w:r>
      <w:r w:rsidR="00280E15" w:rsidRPr="006343DB">
        <w:rPr>
          <w:rFonts w:ascii="Times New Roman" w:hAnsi="Times New Roman"/>
          <w:sz w:val="24"/>
          <w:szCs w:val="24"/>
          <w:lang w:eastAsia="uk-UA"/>
        </w:rPr>
        <w:t>%</w:t>
      </w:r>
      <w:r w:rsidRPr="006343DB">
        <w:rPr>
          <w:rFonts w:ascii="Times New Roman" w:hAnsi="Times New Roman"/>
          <w:sz w:val="24"/>
          <w:szCs w:val="24"/>
          <w:lang w:val="uk-UA" w:eastAsia="uk-UA"/>
        </w:rPr>
        <w:t xml:space="preserve"> від загального терміну придатності з дня завезення їх Замовнику.</w:t>
      </w:r>
    </w:p>
    <w:p w:rsidR="00591942" w:rsidRPr="006343DB" w:rsidRDefault="00591942" w:rsidP="00591942">
      <w:pPr>
        <w:spacing w:after="0" w:line="264" w:lineRule="auto"/>
        <w:ind w:firstLine="284"/>
        <w:contextualSpacing/>
        <w:jc w:val="both"/>
        <w:rPr>
          <w:rFonts w:ascii="Times New Roman" w:hAnsi="Times New Roman"/>
          <w:b/>
          <w:sz w:val="24"/>
          <w:szCs w:val="24"/>
          <w:lang w:val="uk-UA"/>
        </w:rPr>
      </w:pPr>
      <w:r w:rsidRPr="006343DB">
        <w:rPr>
          <w:rFonts w:ascii="Times New Roman" w:hAnsi="Times New Roman"/>
          <w:sz w:val="24"/>
          <w:szCs w:val="24"/>
          <w:lang w:val="uk-UA" w:eastAsia="uk-UA"/>
        </w:rPr>
        <w:t>6. Учасник зобов’язаний забезпечити поставку (доставку) лікарських засобів</w:t>
      </w:r>
      <w:r w:rsidRPr="006343DB">
        <w:rPr>
          <w:rFonts w:ascii="Times New Roman" w:hAnsi="Times New Roman"/>
          <w:b/>
          <w:sz w:val="24"/>
          <w:szCs w:val="24"/>
          <w:lang w:val="uk-UA"/>
        </w:rPr>
        <w:t xml:space="preserve"> (за адресою замовника) </w:t>
      </w:r>
      <w:r w:rsidR="00E454AC" w:rsidRPr="00E454AC">
        <w:rPr>
          <w:rFonts w:ascii="Times New Roman" w:hAnsi="Times New Roman"/>
          <w:b/>
          <w:sz w:val="24"/>
          <w:szCs w:val="24"/>
          <w:lang w:val="uk-UA"/>
        </w:rPr>
        <w:t>29001, Хмельницька обл., Хмельницький район, село Ружичанка, вулиця Визволителів, 3</w:t>
      </w:r>
      <w:r w:rsidRPr="006343DB">
        <w:rPr>
          <w:rFonts w:ascii="Times New Roman" w:hAnsi="Times New Roman"/>
          <w:b/>
          <w:sz w:val="24"/>
          <w:szCs w:val="24"/>
          <w:lang w:val="uk-UA"/>
        </w:rPr>
        <w:t>.</w:t>
      </w:r>
    </w:p>
    <w:p w:rsidR="00591942" w:rsidRPr="006343DB" w:rsidRDefault="00591942" w:rsidP="00591942">
      <w:pPr>
        <w:widowControl w:val="0"/>
        <w:suppressAutoHyphens/>
        <w:autoSpaceDE w:val="0"/>
        <w:spacing w:after="0" w:line="264" w:lineRule="auto"/>
        <w:ind w:firstLine="284"/>
        <w:jc w:val="both"/>
        <w:rPr>
          <w:rFonts w:ascii="Times New Roman" w:hAnsi="Times New Roman"/>
          <w:sz w:val="24"/>
          <w:szCs w:val="24"/>
          <w:lang w:val="uk-UA" w:eastAsia="zh-CN"/>
        </w:rPr>
      </w:pPr>
      <w:r w:rsidRPr="006343DB">
        <w:rPr>
          <w:rFonts w:ascii="Times New Roman" w:hAnsi="Times New Roman"/>
          <w:sz w:val="24"/>
          <w:szCs w:val="24"/>
          <w:lang w:val="uk-UA" w:eastAsia="zh-CN"/>
        </w:rPr>
        <w:t xml:space="preserve">7. Учасник у складі тендерної пропозиції повинен надати довідку про технічні, якісні та інші характеристики складену у довільній формі (за власним підписом і печаткою), що повинна містити вичерпні відомості щодо технічних, якісних та іншим вимог до предмета закупівлі, встановленим замовником, </w:t>
      </w:r>
      <w:r w:rsidRPr="006343DB">
        <w:rPr>
          <w:rFonts w:ascii="Times New Roman" w:hAnsi="Times New Roman"/>
          <w:sz w:val="24"/>
          <w:szCs w:val="24"/>
          <w:u w:val="single"/>
          <w:lang w:val="uk-UA" w:eastAsia="zh-CN"/>
        </w:rPr>
        <w:t>із зазначенням документів</w:t>
      </w:r>
      <w:r w:rsidRPr="006343DB">
        <w:rPr>
          <w:rFonts w:ascii="Times New Roman" w:hAnsi="Times New Roman"/>
          <w:sz w:val="24"/>
          <w:szCs w:val="24"/>
          <w:lang w:val="uk-UA" w:eastAsia="zh-CN"/>
        </w:rPr>
        <w:t>, які підтверджують ці вимоги.</w:t>
      </w:r>
    </w:p>
    <w:p w:rsidR="00591942" w:rsidRPr="006343DB" w:rsidRDefault="00591942" w:rsidP="00591942">
      <w:pPr>
        <w:widowControl w:val="0"/>
        <w:suppressAutoHyphens/>
        <w:autoSpaceDE w:val="0"/>
        <w:spacing w:after="0" w:line="264" w:lineRule="auto"/>
        <w:ind w:firstLine="284"/>
        <w:jc w:val="both"/>
        <w:rPr>
          <w:rFonts w:ascii="Times New Roman" w:hAnsi="Times New Roman"/>
          <w:sz w:val="24"/>
          <w:szCs w:val="24"/>
          <w:lang w:val="uk-UA" w:eastAsia="zh-CN"/>
        </w:rPr>
      </w:pPr>
      <w:r w:rsidRPr="006343DB">
        <w:rPr>
          <w:rFonts w:ascii="Times New Roman" w:hAnsi="Times New Roman"/>
          <w:sz w:val="24"/>
          <w:szCs w:val="24"/>
          <w:lang w:val="uk-UA" w:eastAsia="zh-CN"/>
        </w:rPr>
        <w:t>8. Ціни за одиницю товару запропоновані учасником повинні формуватись, згідно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Постанови КМУ від 17.10.2008 р. №955 «Про заходи щодо стабілізації цін на лікарські засоби і вироби медичного призначення» зі змінами.</w:t>
      </w:r>
    </w:p>
    <w:p w:rsidR="00591942" w:rsidRPr="006343DB" w:rsidRDefault="00591942" w:rsidP="00591942">
      <w:pPr>
        <w:widowControl w:val="0"/>
        <w:tabs>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uk-UA" w:eastAsia="zh-CN"/>
        </w:rPr>
      </w:pPr>
      <w:r w:rsidRPr="006343DB">
        <w:rPr>
          <w:rFonts w:ascii="Times New Roman" w:hAnsi="Times New Roman"/>
          <w:sz w:val="24"/>
          <w:szCs w:val="24"/>
          <w:lang w:val="uk-UA" w:eastAsia="zh-CN"/>
        </w:rPr>
        <w:tab/>
        <w:t xml:space="preserve">9. З метою запобігання закупівлі фальсифікатів та отримання гарантій на своєчасне </w:t>
      </w:r>
      <w:r w:rsidRPr="006343DB">
        <w:rPr>
          <w:rFonts w:ascii="Times New Roman" w:hAnsi="Times New Roman"/>
          <w:sz w:val="24"/>
          <w:szCs w:val="24"/>
          <w:lang w:val="uk-UA" w:eastAsia="zh-CN"/>
        </w:rPr>
        <w:lastRenderedPageBreak/>
        <w:t>постачання товару у кількості, якості, учасник надає оригінал гарантійного листа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якості. Гарантійний лист виробника (представника, дилера, дистриб'ютора, офіційно уповноваженого на це виробником – якщо їх відповідні повноваження поширюються на територію України) повинен включати: повну назву учасника, мати назву предмету закупівлі, номер оголошення даних електронних торгів.</w:t>
      </w:r>
    </w:p>
    <w:p w:rsidR="00042C53" w:rsidRPr="006343DB" w:rsidRDefault="00042C53" w:rsidP="00591942">
      <w:pPr>
        <w:spacing w:line="264" w:lineRule="auto"/>
        <w:ind w:firstLine="284"/>
        <w:jc w:val="center"/>
        <w:rPr>
          <w:rFonts w:ascii="Times New Roman" w:hAnsi="Times New Roman"/>
          <w:b/>
          <w:sz w:val="24"/>
          <w:szCs w:val="24"/>
          <w:lang w:val="uk-UA"/>
        </w:rPr>
      </w:pPr>
    </w:p>
    <w:p w:rsidR="00591942" w:rsidRPr="006343DB" w:rsidRDefault="00591942" w:rsidP="00591942">
      <w:pPr>
        <w:spacing w:line="264" w:lineRule="auto"/>
        <w:ind w:firstLine="284"/>
        <w:jc w:val="center"/>
        <w:rPr>
          <w:rFonts w:ascii="Times New Roman" w:hAnsi="Times New Roman"/>
          <w:b/>
          <w:sz w:val="24"/>
          <w:szCs w:val="24"/>
          <w:lang w:val="uk-UA"/>
        </w:rPr>
      </w:pPr>
      <w:r w:rsidRPr="006343DB">
        <w:rPr>
          <w:rFonts w:ascii="Times New Roman" w:hAnsi="Times New Roman"/>
          <w:b/>
          <w:sz w:val="24"/>
          <w:szCs w:val="24"/>
          <w:lang w:val="uk-UA"/>
        </w:rPr>
        <w:t>РОЗДІЛ 2. МЕДИКО-ТЕХНІЧНІ ХАРАКТЕРИСТИКИ</w:t>
      </w:r>
    </w:p>
    <w:tbl>
      <w:tblPr>
        <w:tblW w:w="10602"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4365"/>
        <w:gridCol w:w="2947"/>
        <w:gridCol w:w="1276"/>
        <w:gridCol w:w="1417"/>
      </w:tblGrid>
      <w:tr w:rsidR="00823948" w:rsidRPr="00E454AC" w:rsidTr="00823948">
        <w:trPr>
          <w:trHeight w:val="739"/>
        </w:trPr>
        <w:tc>
          <w:tcPr>
            <w:tcW w:w="597" w:type="dxa"/>
            <w:vAlign w:val="center"/>
          </w:tcPr>
          <w:p w:rsidR="00823948" w:rsidRPr="00E454AC" w:rsidRDefault="00823948" w:rsidP="00CE3594">
            <w:pPr>
              <w:widowControl w:val="0"/>
              <w:suppressAutoHyphens/>
              <w:autoSpaceDE w:val="0"/>
              <w:autoSpaceDN w:val="0"/>
              <w:adjustRightInd w:val="0"/>
              <w:spacing w:after="0" w:line="240" w:lineRule="auto"/>
              <w:jc w:val="center"/>
              <w:rPr>
                <w:rFonts w:ascii="Times New Roman" w:hAnsi="Times New Roman"/>
                <w:b/>
                <w:bCs/>
                <w:lang w:val="uk-UA" w:eastAsia="zh-CN"/>
              </w:rPr>
            </w:pPr>
            <w:r w:rsidRPr="00E454AC">
              <w:rPr>
                <w:rFonts w:ascii="Times New Roman" w:hAnsi="Times New Roman"/>
                <w:b/>
                <w:bCs/>
                <w:lang w:val="uk-UA" w:eastAsia="zh-CN"/>
              </w:rPr>
              <w:t>№ п/п</w:t>
            </w:r>
          </w:p>
        </w:tc>
        <w:tc>
          <w:tcPr>
            <w:tcW w:w="4365" w:type="dxa"/>
            <w:vAlign w:val="center"/>
          </w:tcPr>
          <w:p w:rsidR="00823948" w:rsidRPr="00E454AC" w:rsidRDefault="00823948" w:rsidP="00CE3594">
            <w:pPr>
              <w:widowControl w:val="0"/>
              <w:suppressAutoHyphens/>
              <w:autoSpaceDE w:val="0"/>
              <w:autoSpaceDN w:val="0"/>
              <w:adjustRightInd w:val="0"/>
              <w:spacing w:after="0" w:line="240" w:lineRule="auto"/>
              <w:jc w:val="center"/>
              <w:rPr>
                <w:rFonts w:ascii="Times New Roman" w:hAnsi="Times New Roman"/>
                <w:b/>
                <w:bCs/>
                <w:lang w:val="uk-UA" w:eastAsia="zh-CN"/>
              </w:rPr>
            </w:pPr>
            <w:r w:rsidRPr="00E454AC">
              <w:rPr>
                <w:rFonts w:ascii="Times New Roman" w:hAnsi="Times New Roman"/>
                <w:b/>
                <w:lang w:val="uk-UA" w:eastAsia="zh-CN"/>
              </w:rPr>
              <w:t>Торгівельна назва та характеристики</w:t>
            </w:r>
          </w:p>
        </w:tc>
        <w:tc>
          <w:tcPr>
            <w:tcW w:w="2947" w:type="dxa"/>
            <w:vAlign w:val="center"/>
          </w:tcPr>
          <w:p w:rsidR="00823948" w:rsidRPr="00E454AC" w:rsidRDefault="00823948" w:rsidP="00CE3594">
            <w:pPr>
              <w:widowControl w:val="0"/>
              <w:suppressAutoHyphens/>
              <w:autoSpaceDE w:val="0"/>
              <w:autoSpaceDN w:val="0"/>
              <w:adjustRightInd w:val="0"/>
              <w:spacing w:after="0" w:line="240" w:lineRule="auto"/>
              <w:jc w:val="center"/>
              <w:rPr>
                <w:rFonts w:ascii="Times New Roman" w:hAnsi="Times New Roman"/>
                <w:b/>
                <w:bCs/>
                <w:lang w:val="uk-UA" w:eastAsia="zh-CN"/>
              </w:rPr>
            </w:pPr>
            <w:r w:rsidRPr="00E454AC">
              <w:rPr>
                <w:rFonts w:ascii="Times New Roman" w:hAnsi="Times New Roman"/>
                <w:b/>
                <w:bCs/>
                <w:lang w:val="uk-UA" w:eastAsia="zh-CN"/>
              </w:rPr>
              <w:t>МНН</w:t>
            </w:r>
          </w:p>
        </w:tc>
        <w:tc>
          <w:tcPr>
            <w:tcW w:w="1276" w:type="dxa"/>
            <w:vAlign w:val="center"/>
          </w:tcPr>
          <w:p w:rsidR="00823948" w:rsidRPr="00E454AC" w:rsidRDefault="00823948" w:rsidP="00CE3594">
            <w:pPr>
              <w:widowControl w:val="0"/>
              <w:suppressAutoHyphens/>
              <w:autoSpaceDE w:val="0"/>
              <w:spacing w:after="0" w:line="240" w:lineRule="auto"/>
              <w:jc w:val="center"/>
              <w:rPr>
                <w:rFonts w:ascii="Times New Roman" w:hAnsi="Times New Roman"/>
                <w:b/>
                <w:bCs/>
                <w:lang w:val="uk-UA" w:eastAsia="zh-CN"/>
              </w:rPr>
            </w:pPr>
            <w:r w:rsidRPr="00E454AC">
              <w:rPr>
                <w:rFonts w:ascii="Times New Roman" w:hAnsi="Times New Roman"/>
                <w:b/>
                <w:bCs/>
                <w:lang w:val="uk-UA" w:eastAsia="zh-CN"/>
              </w:rPr>
              <w:t>Найменша Одиниця виміру</w:t>
            </w:r>
          </w:p>
          <w:p w:rsidR="00823948" w:rsidRPr="00E454AC" w:rsidRDefault="00823948" w:rsidP="00CE3594">
            <w:pPr>
              <w:widowControl w:val="0"/>
              <w:suppressAutoHyphens/>
              <w:autoSpaceDE w:val="0"/>
              <w:autoSpaceDN w:val="0"/>
              <w:adjustRightInd w:val="0"/>
              <w:spacing w:after="0" w:line="240" w:lineRule="auto"/>
              <w:jc w:val="center"/>
              <w:rPr>
                <w:rFonts w:ascii="Times New Roman" w:hAnsi="Times New Roman"/>
                <w:b/>
                <w:bCs/>
                <w:lang w:val="uk-UA" w:eastAsia="zh-CN"/>
              </w:rPr>
            </w:pPr>
            <w:r w:rsidRPr="00E454AC">
              <w:rPr>
                <w:rFonts w:ascii="Times New Roman" w:hAnsi="Times New Roman"/>
                <w:b/>
                <w:bCs/>
                <w:lang w:val="uk-UA" w:eastAsia="zh-CN"/>
              </w:rPr>
              <w:t>Шт.</w:t>
            </w:r>
          </w:p>
        </w:tc>
        <w:tc>
          <w:tcPr>
            <w:tcW w:w="1417" w:type="dxa"/>
            <w:vAlign w:val="center"/>
          </w:tcPr>
          <w:p w:rsidR="00823948" w:rsidRPr="00E454AC" w:rsidRDefault="00823948" w:rsidP="00CE3594">
            <w:pPr>
              <w:widowControl w:val="0"/>
              <w:suppressAutoHyphens/>
              <w:autoSpaceDE w:val="0"/>
              <w:autoSpaceDN w:val="0"/>
              <w:adjustRightInd w:val="0"/>
              <w:spacing w:after="0" w:line="240" w:lineRule="auto"/>
              <w:jc w:val="center"/>
              <w:rPr>
                <w:rFonts w:ascii="Times New Roman" w:hAnsi="Times New Roman"/>
                <w:b/>
                <w:bCs/>
                <w:lang w:val="uk-UA" w:eastAsia="zh-CN"/>
              </w:rPr>
            </w:pPr>
            <w:r w:rsidRPr="00E454AC">
              <w:rPr>
                <w:rFonts w:ascii="Times New Roman" w:hAnsi="Times New Roman"/>
                <w:b/>
                <w:bCs/>
                <w:lang w:val="uk-UA" w:eastAsia="zh-CN"/>
              </w:rPr>
              <w:t>Кількість</w:t>
            </w:r>
          </w:p>
        </w:tc>
      </w:tr>
      <w:tr w:rsidR="00E454AC" w:rsidRPr="00E454AC" w:rsidTr="00E454AC">
        <w:trPr>
          <w:trHeight w:val="362"/>
        </w:trPr>
        <w:tc>
          <w:tcPr>
            <w:tcW w:w="597" w:type="dxa"/>
            <w:vAlign w:val="center"/>
          </w:tcPr>
          <w:p w:rsidR="00E454AC" w:rsidRPr="00E454AC" w:rsidRDefault="00E454AC" w:rsidP="008563E6">
            <w:pPr>
              <w:jc w:val="center"/>
              <w:rPr>
                <w:rFonts w:ascii="Times New Roman" w:hAnsi="Times New Roman"/>
                <w:bCs/>
                <w:color w:val="000000"/>
                <w:lang w:val="uk-UA"/>
              </w:rPr>
            </w:pPr>
            <w:bookmarkStart w:id="0" w:name="_GoBack" w:colFirst="4" w:colLast="4"/>
            <w:r w:rsidRPr="00E454AC">
              <w:rPr>
                <w:rFonts w:ascii="Times New Roman" w:hAnsi="Times New Roman"/>
                <w:bCs/>
                <w:color w:val="000000"/>
                <w:lang w:val="uk-UA"/>
              </w:rPr>
              <w:t>1</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ДЕРКАСТ розчин для інфузій по 100 мл у пляшці, по одній пляшці у пачці</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t>Theophylline, combinations excl. psycholeptics</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пляшка</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30</w:t>
            </w:r>
          </w:p>
        </w:tc>
      </w:tr>
      <w:tr w:rsidR="00E454AC" w:rsidRPr="00E454AC" w:rsidTr="00E454AC">
        <w:trPr>
          <w:trHeight w:val="552"/>
        </w:trPr>
        <w:tc>
          <w:tcPr>
            <w:tcW w:w="597" w:type="dxa"/>
            <w:vAlign w:val="center"/>
          </w:tcPr>
          <w:p w:rsidR="00E454AC" w:rsidRPr="00E454AC" w:rsidRDefault="00E454AC" w:rsidP="008563E6">
            <w:pPr>
              <w:jc w:val="center"/>
              <w:rPr>
                <w:rFonts w:ascii="Times New Roman" w:hAnsi="Times New Roman"/>
                <w:bCs/>
                <w:lang w:val="uk-UA"/>
              </w:rPr>
            </w:pPr>
            <w:r w:rsidRPr="00E454AC">
              <w:rPr>
                <w:rFonts w:ascii="Times New Roman" w:hAnsi="Times New Roman"/>
                <w:bCs/>
                <w:lang w:val="uk-UA"/>
              </w:rPr>
              <w:t>2</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КАЛІЮ ХЛОРИД концентрат для розчину для інфузій, 75 мг/мл, по 20 мл у флаконах скляних</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t>Potassium chloride</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флакон</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80</w:t>
            </w:r>
          </w:p>
        </w:tc>
      </w:tr>
      <w:tr w:rsidR="00E454AC" w:rsidRPr="00E454AC" w:rsidTr="00E454AC">
        <w:trPr>
          <w:trHeight w:val="552"/>
        </w:trPr>
        <w:tc>
          <w:tcPr>
            <w:tcW w:w="597" w:type="dxa"/>
            <w:vAlign w:val="center"/>
          </w:tcPr>
          <w:p w:rsidR="00E454AC" w:rsidRPr="00E454AC" w:rsidRDefault="00E454AC" w:rsidP="008563E6">
            <w:pPr>
              <w:jc w:val="center"/>
              <w:rPr>
                <w:rFonts w:ascii="Times New Roman" w:hAnsi="Times New Roman"/>
                <w:bCs/>
                <w:lang w:val="uk-UA"/>
              </w:rPr>
            </w:pPr>
            <w:r w:rsidRPr="00E454AC">
              <w:rPr>
                <w:rFonts w:ascii="Times New Roman" w:hAnsi="Times New Roman"/>
                <w:bCs/>
                <w:lang w:val="uk-UA"/>
              </w:rPr>
              <w:t>3</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КСИЛАТ розчин для інфузій, по 200 мл у пляшках</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t>Electrolytes in combination with other drugs</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пляшка</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50</w:t>
            </w:r>
          </w:p>
        </w:tc>
      </w:tr>
      <w:tr w:rsidR="00E454AC" w:rsidRPr="00E454AC" w:rsidTr="00E454AC">
        <w:trPr>
          <w:trHeight w:val="552"/>
        </w:trPr>
        <w:tc>
          <w:tcPr>
            <w:tcW w:w="597" w:type="dxa"/>
            <w:vAlign w:val="center"/>
          </w:tcPr>
          <w:p w:rsidR="00E454AC" w:rsidRPr="00E454AC" w:rsidRDefault="00E454AC" w:rsidP="008563E6">
            <w:pPr>
              <w:jc w:val="center"/>
              <w:rPr>
                <w:rFonts w:ascii="Times New Roman" w:hAnsi="Times New Roman"/>
                <w:bCs/>
                <w:lang w:val="uk-UA"/>
              </w:rPr>
            </w:pPr>
            <w:r w:rsidRPr="00E454AC">
              <w:rPr>
                <w:rFonts w:ascii="Times New Roman" w:hAnsi="Times New Roman"/>
                <w:bCs/>
                <w:lang w:val="uk-UA"/>
              </w:rPr>
              <w:t>4</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ЛАТРЕН розчин для інфузій, 0,5 мг/мл, по 200 мл у пляшках</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t>Pentoxifylline</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пляшка</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200</w:t>
            </w:r>
          </w:p>
        </w:tc>
      </w:tr>
      <w:tr w:rsidR="00E454AC" w:rsidRPr="00E454AC" w:rsidTr="00E454AC">
        <w:trPr>
          <w:trHeight w:val="552"/>
        </w:trPr>
        <w:tc>
          <w:tcPr>
            <w:tcW w:w="597" w:type="dxa"/>
            <w:vAlign w:val="center"/>
          </w:tcPr>
          <w:p w:rsidR="00E454AC" w:rsidRPr="00E454AC" w:rsidRDefault="00E454AC" w:rsidP="008563E6">
            <w:pPr>
              <w:jc w:val="center"/>
              <w:rPr>
                <w:rFonts w:ascii="Times New Roman" w:hAnsi="Times New Roman"/>
                <w:bCs/>
                <w:lang w:val="uk-UA"/>
              </w:rPr>
            </w:pPr>
            <w:r w:rsidRPr="00E454AC">
              <w:rPr>
                <w:rFonts w:ascii="Times New Roman" w:hAnsi="Times New Roman"/>
                <w:bCs/>
                <w:lang w:val="uk-UA"/>
              </w:rPr>
              <w:t>5</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НЕБУФЛЮЗОН суспензія для інгаляцій, 1,0 мг/мл, по 2 мл у контейнері одноразовому; по 10 контейнерів у пакеті; по 1 пакету в пачці з картону</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t>Fluticasone</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контейнер</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200</w:t>
            </w:r>
          </w:p>
        </w:tc>
      </w:tr>
      <w:tr w:rsidR="00E454AC" w:rsidRPr="00E454AC" w:rsidTr="00E454AC">
        <w:trPr>
          <w:trHeight w:val="552"/>
        </w:trPr>
        <w:tc>
          <w:tcPr>
            <w:tcW w:w="597" w:type="dxa"/>
            <w:vAlign w:val="center"/>
          </w:tcPr>
          <w:p w:rsidR="00E454AC" w:rsidRPr="00E454AC" w:rsidRDefault="00E454AC" w:rsidP="008563E6">
            <w:pPr>
              <w:jc w:val="center"/>
              <w:rPr>
                <w:rFonts w:ascii="Times New Roman" w:hAnsi="Times New Roman"/>
                <w:bCs/>
                <w:lang w:val="uk-UA"/>
              </w:rPr>
            </w:pPr>
            <w:r w:rsidRPr="00E454AC">
              <w:rPr>
                <w:rFonts w:ascii="Times New Roman" w:hAnsi="Times New Roman"/>
                <w:bCs/>
                <w:lang w:val="uk-UA"/>
              </w:rPr>
              <w:t>6</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РЕОСОРБІЛАКТ розчин для інфузій, по 200 мл у пляшках скляних</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t>Electrolytes in combination with other drugs</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пляшка</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240</w:t>
            </w:r>
          </w:p>
        </w:tc>
      </w:tr>
      <w:tr w:rsidR="00E454AC" w:rsidRPr="00E454AC" w:rsidTr="00E454AC">
        <w:trPr>
          <w:trHeight w:val="552"/>
        </w:trPr>
        <w:tc>
          <w:tcPr>
            <w:tcW w:w="597" w:type="dxa"/>
            <w:vAlign w:val="center"/>
          </w:tcPr>
          <w:p w:rsidR="00E454AC" w:rsidRPr="00E454AC" w:rsidRDefault="00E454AC" w:rsidP="008563E6">
            <w:pPr>
              <w:jc w:val="center"/>
              <w:rPr>
                <w:rFonts w:ascii="Times New Roman" w:hAnsi="Times New Roman"/>
                <w:bCs/>
                <w:lang w:val="uk-UA"/>
              </w:rPr>
            </w:pPr>
            <w:r w:rsidRPr="00E454AC">
              <w:rPr>
                <w:rFonts w:ascii="Times New Roman" w:hAnsi="Times New Roman"/>
                <w:bCs/>
                <w:lang w:val="uk-UA"/>
              </w:rPr>
              <w:t>7</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СУФЕР розчин для внутрішньовенних ін'єкцій, 20 мг/мл, по 5 мл в ампулі скляній; по 5 ампул у контурній чарунковій упаковці; по 1 контурній чарунковій упаковці у пачці з картону</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t>Saccharated iron oxide</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ампула</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50</w:t>
            </w:r>
          </w:p>
        </w:tc>
      </w:tr>
      <w:tr w:rsidR="00E454AC" w:rsidRPr="00E454AC" w:rsidTr="00E454AC">
        <w:trPr>
          <w:trHeight w:val="552"/>
        </w:trPr>
        <w:tc>
          <w:tcPr>
            <w:tcW w:w="597" w:type="dxa"/>
            <w:vAlign w:val="center"/>
          </w:tcPr>
          <w:p w:rsidR="00E454AC" w:rsidRPr="00E454AC" w:rsidRDefault="00E454AC" w:rsidP="008563E6">
            <w:pPr>
              <w:jc w:val="center"/>
              <w:rPr>
                <w:rFonts w:ascii="Times New Roman" w:hAnsi="Times New Roman"/>
                <w:bCs/>
                <w:lang w:val="uk-UA"/>
              </w:rPr>
            </w:pPr>
            <w:r w:rsidRPr="00E454AC">
              <w:rPr>
                <w:rFonts w:ascii="Times New Roman" w:hAnsi="Times New Roman"/>
                <w:bCs/>
                <w:lang w:val="uk-UA"/>
              </w:rPr>
              <w:t>8</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ТІВОРТІН розчин для інфузій, 42 мг/мл, по 100 мл у пляшці; по 1 пляшці у пачці</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t>Arginine hydrochloride</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пляшка</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160</w:t>
            </w:r>
          </w:p>
        </w:tc>
      </w:tr>
      <w:tr w:rsidR="00E454AC" w:rsidRPr="00E454AC" w:rsidTr="00E454AC">
        <w:trPr>
          <w:trHeight w:val="552"/>
        </w:trPr>
        <w:tc>
          <w:tcPr>
            <w:tcW w:w="597" w:type="dxa"/>
            <w:vAlign w:val="center"/>
          </w:tcPr>
          <w:p w:rsidR="00E454AC" w:rsidRPr="00E454AC" w:rsidRDefault="00E454AC" w:rsidP="008563E6">
            <w:pPr>
              <w:jc w:val="center"/>
              <w:rPr>
                <w:rFonts w:ascii="Times New Roman" w:hAnsi="Times New Roman"/>
                <w:bCs/>
                <w:lang w:val="uk-UA"/>
              </w:rPr>
            </w:pPr>
            <w:r w:rsidRPr="00E454AC">
              <w:rPr>
                <w:rFonts w:ascii="Times New Roman" w:hAnsi="Times New Roman"/>
                <w:bCs/>
                <w:lang w:val="uk-UA"/>
              </w:rPr>
              <w:t>9</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ТІВОРЕЛЬ розчин для інфузій, по 100 мл у пляшці з маркуванням українською та англійською мовами; по 1 пляшці в пачці</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t>Comb drug</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пляшка</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60</w:t>
            </w:r>
          </w:p>
        </w:tc>
      </w:tr>
      <w:tr w:rsidR="00E454AC" w:rsidRPr="00E454AC" w:rsidTr="00E454AC">
        <w:trPr>
          <w:trHeight w:val="552"/>
        </w:trPr>
        <w:tc>
          <w:tcPr>
            <w:tcW w:w="597" w:type="dxa"/>
            <w:vAlign w:val="center"/>
          </w:tcPr>
          <w:p w:rsidR="00E454AC" w:rsidRPr="00E454AC" w:rsidRDefault="00E454AC" w:rsidP="008563E6">
            <w:pPr>
              <w:jc w:val="center"/>
              <w:rPr>
                <w:rFonts w:ascii="Times New Roman" w:hAnsi="Times New Roman"/>
                <w:bCs/>
                <w:lang w:val="uk-UA"/>
              </w:rPr>
            </w:pPr>
            <w:r w:rsidRPr="00E454AC">
              <w:rPr>
                <w:rFonts w:ascii="Times New Roman" w:hAnsi="Times New Roman"/>
                <w:bCs/>
                <w:lang w:val="uk-UA"/>
              </w:rPr>
              <w:t>10</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ФЛУКОНАЗОЛ розчин для інфузій, 2 мг/мл, по 100 мл у пляшках</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t>Fluconazole</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пляшка</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100</w:t>
            </w:r>
          </w:p>
        </w:tc>
      </w:tr>
      <w:tr w:rsidR="00E454AC" w:rsidRPr="00E454AC" w:rsidTr="00E454AC">
        <w:trPr>
          <w:trHeight w:val="552"/>
        </w:trPr>
        <w:tc>
          <w:tcPr>
            <w:tcW w:w="597" w:type="dxa"/>
            <w:vAlign w:val="center"/>
          </w:tcPr>
          <w:p w:rsidR="00E454AC" w:rsidRPr="00E454AC" w:rsidRDefault="00E454AC" w:rsidP="008563E6">
            <w:pPr>
              <w:jc w:val="center"/>
              <w:rPr>
                <w:rFonts w:ascii="Times New Roman" w:hAnsi="Times New Roman"/>
                <w:bCs/>
                <w:lang w:val="uk-UA"/>
              </w:rPr>
            </w:pPr>
            <w:r w:rsidRPr="00E454AC">
              <w:rPr>
                <w:rFonts w:ascii="Times New Roman" w:hAnsi="Times New Roman"/>
                <w:bCs/>
                <w:lang w:val="uk-UA"/>
              </w:rPr>
              <w:t>11</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 xml:space="preserve">ЦИТОКОН розчин для ін'єкцій, 250 мг/мл, по 4 мл в ампулі; по 5 ампул у контурній </w:t>
            </w:r>
            <w:r w:rsidRPr="00E454AC">
              <w:rPr>
                <w:rFonts w:ascii="Times New Roman" w:hAnsi="Times New Roman"/>
                <w:color w:val="000000"/>
              </w:rPr>
              <w:lastRenderedPageBreak/>
              <w:t>чарунковій упаковці; по 1 контурній чарунковій упаковці в пачці з картону</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lastRenderedPageBreak/>
              <w:t>Citicoline</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ампула</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650</w:t>
            </w:r>
          </w:p>
        </w:tc>
      </w:tr>
      <w:tr w:rsidR="00E454AC" w:rsidRPr="00E454AC" w:rsidTr="00E454AC">
        <w:trPr>
          <w:trHeight w:val="552"/>
        </w:trPr>
        <w:tc>
          <w:tcPr>
            <w:tcW w:w="597" w:type="dxa"/>
            <w:vAlign w:val="center"/>
          </w:tcPr>
          <w:p w:rsidR="00E454AC" w:rsidRPr="00E454AC" w:rsidRDefault="00E454AC" w:rsidP="008563E6">
            <w:pPr>
              <w:jc w:val="center"/>
              <w:rPr>
                <w:rFonts w:ascii="Times New Roman" w:hAnsi="Times New Roman"/>
                <w:bCs/>
                <w:lang w:val="uk-UA"/>
              </w:rPr>
            </w:pPr>
            <w:r w:rsidRPr="00E454AC">
              <w:rPr>
                <w:rFonts w:ascii="Times New Roman" w:hAnsi="Times New Roman"/>
                <w:bCs/>
                <w:lang w:val="uk-UA"/>
              </w:rPr>
              <w:lastRenderedPageBreak/>
              <w:t>12</w:t>
            </w:r>
          </w:p>
        </w:tc>
        <w:tc>
          <w:tcPr>
            <w:tcW w:w="4365" w:type="dxa"/>
            <w:shd w:val="clear" w:color="auto" w:fill="auto"/>
            <w:vAlign w:val="bottom"/>
          </w:tcPr>
          <w:p w:rsidR="00E454AC" w:rsidRPr="00E454AC" w:rsidRDefault="00E454AC">
            <w:pPr>
              <w:rPr>
                <w:rFonts w:ascii="Times New Roman" w:hAnsi="Times New Roman"/>
                <w:color w:val="000000"/>
              </w:rPr>
            </w:pPr>
            <w:r w:rsidRPr="00E454AC">
              <w:rPr>
                <w:rFonts w:ascii="Times New Roman" w:hAnsi="Times New Roman"/>
                <w:color w:val="000000"/>
              </w:rPr>
              <w:t>ЮНОРМ розчин для ін'єкцій, 2,0 мг/мл по 2 мл в ампулі; по 5 ампул в контурній чарунковій упаковці; по 1 контурній чарунковій упаковці в пачці з картону</w:t>
            </w:r>
          </w:p>
        </w:tc>
        <w:tc>
          <w:tcPr>
            <w:tcW w:w="2947" w:type="dxa"/>
            <w:shd w:val="clear" w:color="auto" w:fill="auto"/>
            <w:vAlign w:val="center"/>
          </w:tcPr>
          <w:p w:rsidR="00E454AC" w:rsidRPr="00E454AC" w:rsidRDefault="00E454AC" w:rsidP="00E454AC">
            <w:pPr>
              <w:jc w:val="center"/>
              <w:rPr>
                <w:rFonts w:ascii="Times New Roman" w:hAnsi="Times New Roman"/>
              </w:rPr>
            </w:pPr>
            <w:r w:rsidRPr="00E454AC">
              <w:rPr>
                <w:rFonts w:ascii="Times New Roman" w:hAnsi="Times New Roman"/>
              </w:rPr>
              <w:t>Ondansetron</w:t>
            </w:r>
          </w:p>
        </w:tc>
        <w:tc>
          <w:tcPr>
            <w:tcW w:w="1276"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ампула</w:t>
            </w:r>
          </w:p>
        </w:tc>
        <w:tc>
          <w:tcPr>
            <w:tcW w:w="1417" w:type="dxa"/>
            <w:shd w:val="clear" w:color="000000" w:fill="FFFFFF"/>
            <w:vAlign w:val="center"/>
          </w:tcPr>
          <w:p w:rsidR="00E454AC" w:rsidRPr="00E454AC" w:rsidRDefault="00E454AC" w:rsidP="00E454AC">
            <w:pPr>
              <w:jc w:val="center"/>
              <w:rPr>
                <w:rFonts w:ascii="Times New Roman" w:hAnsi="Times New Roman"/>
              </w:rPr>
            </w:pPr>
            <w:r w:rsidRPr="00E454AC">
              <w:rPr>
                <w:rFonts w:ascii="Times New Roman" w:hAnsi="Times New Roman"/>
              </w:rPr>
              <w:t>250</w:t>
            </w:r>
          </w:p>
        </w:tc>
      </w:tr>
      <w:bookmarkEnd w:id="0"/>
    </w:tbl>
    <w:p w:rsidR="00AD1D00" w:rsidRPr="006343DB" w:rsidRDefault="00AD1D00" w:rsidP="00591942">
      <w:pPr>
        <w:widowControl w:val="0"/>
        <w:suppressAutoHyphens/>
        <w:autoSpaceDE w:val="0"/>
        <w:spacing w:after="0" w:line="300" w:lineRule="auto"/>
        <w:jc w:val="both"/>
        <w:rPr>
          <w:rFonts w:ascii="Times New Roman" w:hAnsi="Times New Roman"/>
          <w:b/>
          <w:sz w:val="24"/>
          <w:szCs w:val="24"/>
          <w:lang w:val="uk-UA"/>
        </w:rPr>
      </w:pPr>
    </w:p>
    <w:p w:rsidR="00591942" w:rsidRPr="006343DB" w:rsidRDefault="00591942" w:rsidP="00591942">
      <w:pPr>
        <w:widowControl w:val="0"/>
        <w:suppressAutoHyphens/>
        <w:autoSpaceDE w:val="0"/>
        <w:spacing w:after="0" w:line="300" w:lineRule="auto"/>
        <w:jc w:val="both"/>
        <w:rPr>
          <w:rFonts w:ascii="Times New Roman" w:hAnsi="Times New Roman"/>
          <w:b/>
          <w:i/>
          <w:sz w:val="24"/>
          <w:szCs w:val="24"/>
          <w:lang w:val="uk-UA"/>
        </w:rPr>
      </w:pPr>
      <w:r w:rsidRPr="006343DB">
        <w:rPr>
          <w:rFonts w:ascii="Times New Roman" w:hAnsi="Times New Roman"/>
          <w:b/>
          <w:i/>
          <w:sz w:val="24"/>
          <w:szCs w:val="24"/>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591942" w:rsidRPr="006343DB" w:rsidRDefault="00591942" w:rsidP="00591942">
      <w:pPr>
        <w:widowControl w:val="0"/>
        <w:tabs>
          <w:tab w:val="left" w:pos="1080"/>
        </w:tabs>
        <w:suppressAutoHyphens/>
        <w:autoSpaceDE w:val="0"/>
        <w:spacing w:after="0" w:line="264" w:lineRule="auto"/>
        <w:jc w:val="both"/>
        <w:rPr>
          <w:rFonts w:ascii="Times New Roman" w:hAnsi="Times New Roman"/>
          <w:i/>
          <w:iCs/>
          <w:sz w:val="24"/>
          <w:szCs w:val="24"/>
          <w:lang w:val="uk-UA"/>
        </w:rPr>
      </w:pPr>
      <w:r w:rsidRPr="006343DB">
        <w:rPr>
          <w:rFonts w:ascii="Times New Roman" w:hAnsi="Times New Roman"/>
          <w:b/>
          <w:bCs/>
          <w:i/>
          <w:sz w:val="24"/>
          <w:szCs w:val="24"/>
          <w:u w:val="single"/>
          <w:lang w:val="uk-UA"/>
        </w:rPr>
        <w:t>Примітка:</w:t>
      </w:r>
      <w:r w:rsidRPr="006343DB">
        <w:rPr>
          <w:rFonts w:ascii="Times New Roman" w:hAnsi="Times New Roman"/>
          <w:i/>
          <w:iCs/>
          <w:sz w:val="24"/>
          <w:szCs w:val="24"/>
          <w:lang w:val="uk-UA"/>
        </w:rPr>
        <w:t>У разі, якщо учасник тендеру пропонує для постачання еквівалент товару, що вимагається замовником, він повинен зазначити в формі «Тендерна пропозиція» конкретне найменування товару, що пропонується для постачання та надати інформацію (довідка або гарантійний лист) в довільній формі з підтвердженням того, що запропонований товар є еквівалентом і за технічними та якісними характеристиками повністю відповідає вимогам замовника.</w:t>
      </w:r>
    </w:p>
    <w:p w:rsidR="004A22A4" w:rsidRPr="00042C53" w:rsidRDefault="004A22A4" w:rsidP="004A22A4">
      <w:pPr>
        <w:widowControl w:val="0"/>
        <w:suppressAutoHyphens/>
        <w:snapToGrid w:val="0"/>
        <w:spacing w:after="0" w:line="300" w:lineRule="auto"/>
        <w:jc w:val="center"/>
        <w:rPr>
          <w:rFonts w:ascii="Times New Roman" w:hAnsi="Times New Roman"/>
          <w:bCs/>
          <w:szCs w:val="20"/>
          <w:lang w:val="uk-UA" w:eastAsia="zh-CN"/>
        </w:rPr>
      </w:pPr>
    </w:p>
    <w:sectPr w:rsidR="004A22A4" w:rsidRPr="00042C53" w:rsidSect="00042C5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914D3E"/>
    <w:rsid w:val="00003007"/>
    <w:rsid w:val="000100D7"/>
    <w:rsid w:val="00031904"/>
    <w:rsid w:val="00042C53"/>
    <w:rsid w:val="0004472D"/>
    <w:rsid w:val="000B61A4"/>
    <w:rsid w:val="000E56F4"/>
    <w:rsid w:val="001A22F7"/>
    <w:rsid w:val="001F73C6"/>
    <w:rsid w:val="0021142D"/>
    <w:rsid w:val="00251F38"/>
    <w:rsid w:val="00280E15"/>
    <w:rsid w:val="002E70D6"/>
    <w:rsid w:val="00375305"/>
    <w:rsid w:val="00375A1B"/>
    <w:rsid w:val="0038785C"/>
    <w:rsid w:val="003C4EAD"/>
    <w:rsid w:val="00422F31"/>
    <w:rsid w:val="004637A6"/>
    <w:rsid w:val="004A22A4"/>
    <w:rsid w:val="004C3B31"/>
    <w:rsid w:val="00517DF4"/>
    <w:rsid w:val="00591942"/>
    <w:rsid w:val="00601E36"/>
    <w:rsid w:val="00627921"/>
    <w:rsid w:val="006343DB"/>
    <w:rsid w:val="006C1811"/>
    <w:rsid w:val="00823948"/>
    <w:rsid w:val="008563E6"/>
    <w:rsid w:val="00907F39"/>
    <w:rsid w:val="00914D3E"/>
    <w:rsid w:val="009C7BD2"/>
    <w:rsid w:val="00A76018"/>
    <w:rsid w:val="00A80CF6"/>
    <w:rsid w:val="00AA0C38"/>
    <w:rsid w:val="00AC3E06"/>
    <w:rsid w:val="00AD1D00"/>
    <w:rsid w:val="00AD4B08"/>
    <w:rsid w:val="00B67D14"/>
    <w:rsid w:val="00BC01C3"/>
    <w:rsid w:val="00C70837"/>
    <w:rsid w:val="00C85C12"/>
    <w:rsid w:val="00C86ACF"/>
    <w:rsid w:val="00CE3594"/>
    <w:rsid w:val="00CF6E8E"/>
    <w:rsid w:val="00D85C98"/>
    <w:rsid w:val="00DB4C6A"/>
    <w:rsid w:val="00E454AC"/>
    <w:rsid w:val="00EF4024"/>
    <w:rsid w:val="00F26B9C"/>
    <w:rsid w:val="00FD42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A4"/>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900">
      <w:bodyDiv w:val="1"/>
      <w:marLeft w:val="0"/>
      <w:marRight w:val="0"/>
      <w:marTop w:val="0"/>
      <w:marBottom w:val="0"/>
      <w:divBdr>
        <w:top w:val="none" w:sz="0" w:space="0" w:color="auto"/>
        <w:left w:val="none" w:sz="0" w:space="0" w:color="auto"/>
        <w:bottom w:val="none" w:sz="0" w:space="0" w:color="auto"/>
        <w:right w:val="none" w:sz="0" w:space="0" w:color="auto"/>
      </w:divBdr>
    </w:div>
    <w:div w:id="937327958">
      <w:bodyDiv w:val="1"/>
      <w:marLeft w:val="0"/>
      <w:marRight w:val="0"/>
      <w:marTop w:val="0"/>
      <w:marBottom w:val="0"/>
      <w:divBdr>
        <w:top w:val="none" w:sz="0" w:space="0" w:color="auto"/>
        <w:left w:val="none" w:sz="0" w:space="0" w:color="auto"/>
        <w:bottom w:val="none" w:sz="0" w:space="0" w:color="auto"/>
        <w:right w:val="none" w:sz="0" w:space="0" w:color="auto"/>
      </w:divBdr>
    </w:div>
    <w:div w:id="1331055563">
      <w:bodyDiv w:val="1"/>
      <w:marLeft w:val="0"/>
      <w:marRight w:val="0"/>
      <w:marTop w:val="0"/>
      <w:marBottom w:val="0"/>
      <w:divBdr>
        <w:top w:val="none" w:sz="0" w:space="0" w:color="auto"/>
        <w:left w:val="none" w:sz="0" w:space="0" w:color="auto"/>
        <w:bottom w:val="none" w:sz="0" w:space="0" w:color="auto"/>
        <w:right w:val="none" w:sz="0" w:space="0" w:color="auto"/>
      </w:divBdr>
    </w:div>
    <w:div w:id="1546521004">
      <w:bodyDiv w:val="1"/>
      <w:marLeft w:val="0"/>
      <w:marRight w:val="0"/>
      <w:marTop w:val="0"/>
      <w:marBottom w:val="0"/>
      <w:divBdr>
        <w:top w:val="none" w:sz="0" w:space="0" w:color="auto"/>
        <w:left w:val="none" w:sz="0" w:space="0" w:color="auto"/>
        <w:bottom w:val="none" w:sz="0" w:space="0" w:color="auto"/>
        <w:right w:val="none" w:sz="0" w:space="0" w:color="auto"/>
      </w:divBdr>
    </w:div>
    <w:div w:id="169511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925</Words>
  <Characters>5274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41</cp:revision>
  <dcterms:created xsi:type="dcterms:W3CDTF">2020-06-26T10:57:00Z</dcterms:created>
  <dcterms:modified xsi:type="dcterms:W3CDTF">2022-08-08T13:30:00Z</dcterms:modified>
</cp:coreProperties>
</file>