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6" w:rsidRPr="00217CBE" w:rsidRDefault="00BD1386" w:rsidP="00BD13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BD1386" w:rsidRDefault="00BD1386" w:rsidP="00BD13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187B75" w:rsidRDefault="001C673A" w:rsidP="001C67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Інформація про необхідні технічні, якісні та кількісні характеристики предмета закупівлі </w:t>
      </w:r>
    </w:p>
    <w:p w:rsidR="009B0860" w:rsidRDefault="009B0860" w:rsidP="001C67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87B75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87B75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87B75">
        <w:rPr>
          <w:rFonts w:ascii="Times New Roman" w:hAnsi="Times New Roman" w:cs="Times New Roman"/>
          <w:b/>
          <w:sz w:val="24"/>
          <w:szCs w:val="24"/>
        </w:rPr>
        <w:t xml:space="preserve"> 021:2015- 33120000 - 7  Системи реєстрації медичної інформації та дослідне обладнання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Авторефрактометр</w:t>
      </w:r>
      <w:proofErr w:type="spellEnd"/>
      <w:r w:rsidRPr="00187B75">
        <w:rPr>
          <w:rFonts w:ascii="Times New Roman" w:hAnsi="Times New Roman" w:cs="Times New Roman"/>
          <w:b/>
          <w:sz w:val="24"/>
          <w:szCs w:val="24"/>
        </w:rPr>
        <w:t>), код НК 024:2023- 3</w:t>
      </w:r>
      <w:r>
        <w:rPr>
          <w:rFonts w:ascii="Times New Roman" w:hAnsi="Times New Roman" w:cs="Times New Roman"/>
          <w:b/>
          <w:sz w:val="24"/>
          <w:szCs w:val="24"/>
        </w:rPr>
        <w:t>6386</w:t>
      </w:r>
      <w:r w:rsidRPr="00187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Авторефрактоме</w:t>
      </w:r>
      <w:r w:rsidRPr="00187B75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 w:rsidRPr="00187B75">
        <w:rPr>
          <w:rFonts w:ascii="Times New Roman" w:hAnsi="Times New Roman" w:cs="Times New Roman"/>
          <w:b/>
          <w:sz w:val="24"/>
          <w:szCs w:val="24"/>
        </w:rPr>
        <w:t xml:space="preserve"> офтальмологічний </w:t>
      </w:r>
      <w:r>
        <w:rPr>
          <w:rFonts w:ascii="Times New Roman" w:hAnsi="Times New Roman" w:cs="Times New Roman"/>
          <w:b/>
          <w:sz w:val="24"/>
          <w:szCs w:val="24"/>
        </w:rPr>
        <w:t>автоматичний</w:t>
      </w:r>
    </w:p>
    <w:p w:rsidR="001C673A" w:rsidRDefault="009B0860" w:rsidP="001C67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73A" w:rsidRPr="00187B7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1C673A" w:rsidRPr="00187B75">
        <w:rPr>
          <w:rFonts w:ascii="Times New Roman" w:hAnsi="Times New Roman" w:cs="Times New Roman"/>
          <w:b/>
          <w:bCs/>
          <w:sz w:val="24"/>
          <w:szCs w:val="24"/>
        </w:rPr>
        <w:t>медико-технічні</w:t>
      </w:r>
      <w:proofErr w:type="spellEnd"/>
      <w:r w:rsidR="001C673A" w:rsidRPr="00187B75">
        <w:rPr>
          <w:rFonts w:ascii="Times New Roman" w:hAnsi="Times New Roman" w:cs="Times New Roman"/>
          <w:b/>
          <w:bCs/>
          <w:sz w:val="24"/>
          <w:szCs w:val="24"/>
        </w:rPr>
        <w:t xml:space="preserve"> вимоги):</w:t>
      </w:r>
    </w:p>
    <w:p w:rsidR="009B0860" w:rsidRDefault="009B0860" w:rsidP="009B0860">
      <w:pPr>
        <w:ind w:left="-426" w:firstLine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Призначення:</w:t>
      </w:r>
    </w:p>
    <w:tbl>
      <w:tblPr>
        <w:tblW w:w="9849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9"/>
        <w:gridCol w:w="2740"/>
      </w:tblGrid>
      <w:tr w:rsidR="009B0860" w:rsidTr="00666317">
        <w:tc>
          <w:tcPr>
            <w:tcW w:w="7109" w:type="dxa"/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Вимога</w:t>
            </w:r>
          </w:p>
        </w:tc>
        <w:tc>
          <w:tcPr>
            <w:tcW w:w="2740" w:type="dxa"/>
          </w:tcPr>
          <w:p w:rsidR="009B0860" w:rsidRDefault="009B0860" w:rsidP="00666317">
            <w:pPr>
              <w:ind w:firstLine="7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Відповідність</w:t>
            </w:r>
          </w:p>
        </w:tc>
      </w:tr>
      <w:tr w:rsidR="009B0860" w:rsidTr="00666317">
        <w:tc>
          <w:tcPr>
            <w:tcW w:w="7109" w:type="dxa"/>
          </w:tcPr>
          <w:p w:rsidR="009B0860" w:rsidRDefault="009B0860" w:rsidP="00666317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Прилад повинен бути призначеним для вимірювання сфери, циліндра, та висі астигматизму шляхом вимірювання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оптичної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сили ока пацієнта. Та таким, що надає інформацію про кривизну рогівки пацієнта,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міжзіничну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відстань та розмір зіниці.</w:t>
            </w:r>
          </w:p>
        </w:tc>
        <w:tc>
          <w:tcPr>
            <w:tcW w:w="2740" w:type="dxa"/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</w:p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860" w:rsidRDefault="009B0860" w:rsidP="009B0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Загальні відомості :</w:t>
      </w:r>
    </w:p>
    <w:p w:rsidR="009B0860" w:rsidRDefault="009B0860" w:rsidP="009B0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813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5955"/>
        <w:gridCol w:w="3290"/>
      </w:tblGrid>
      <w:tr w:rsidR="009B0860" w:rsidTr="00666317">
        <w:tc>
          <w:tcPr>
            <w:tcW w:w="568" w:type="dxa"/>
          </w:tcPr>
          <w:p w:rsidR="009B0860" w:rsidRDefault="009B0860" w:rsidP="00666317">
            <w:pPr>
              <w:ind w:right="-36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955" w:type="dxa"/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Загальні відомості</w:t>
            </w:r>
          </w:p>
        </w:tc>
        <w:tc>
          <w:tcPr>
            <w:tcW w:w="3290" w:type="dxa"/>
          </w:tcPr>
          <w:p w:rsidR="009B0860" w:rsidRDefault="009B0860" w:rsidP="00666317">
            <w:pPr>
              <w:ind w:right="-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Дані приладу</w:t>
            </w:r>
          </w:p>
        </w:tc>
      </w:tr>
      <w:tr w:rsidR="009B0860" w:rsidTr="00666317">
        <w:tc>
          <w:tcPr>
            <w:tcW w:w="568" w:type="dxa"/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55" w:type="dxa"/>
          </w:tcPr>
          <w:p w:rsidR="009B0860" w:rsidRDefault="009B0860" w:rsidP="00666317">
            <w:pPr>
              <w:spacing w:line="259" w:lineRule="auto"/>
              <w:ind w:right="-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Фірма виробник обладнання</w:t>
            </w:r>
          </w:p>
        </w:tc>
        <w:tc>
          <w:tcPr>
            <w:tcW w:w="3290" w:type="dxa"/>
          </w:tcPr>
          <w:p w:rsidR="009B0860" w:rsidRDefault="009B0860" w:rsidP="00666317">
            <w:pPr>
              <w:ind w:right="-38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568" w:type="dxa"/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55" w:type="dxa"/>
          </w:tcPr>
          <w:p w:rsidR="009B0860" w:rsidRDefault="009B0860" w:rsidP="00666317">
            <w:pPr>
              <w:spacing w:line="259" w:lineRule="auto"/>
              <w:ind w:right="-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Країна-виробник</w:t>
            </w:r>
          </w:p>
        </w:tc>
        <w:tc>
          <w:tcPr>
            <w:tcW w:w="3290" w:type="dxa"/>
          </w:tcPr>
          <w:p w:rsidR="009B0860" w:rsidRDefault="009B0860" w:rsidP="00666317">
            <w:pPr>
              <w:ind w:right="-38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568" w:type="dxa"/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55" w:type="dxa"/>
          </w:tcPr>
          <w:p w:rsidR="009B0860" w:rsidRDefault="009B0860" w:rsidP="00666317">
            <w:pPr>
              <w:spacing w:line="259" w:lineRule="auto"/>
              <w:ind w:right="-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</w:t>
            </w:r>
          </w:p>
        </w:tc>
        <w:tc>
          <w:tcPr>
            <w:tcW w:w="3290" w:type="dxa"/>
          </w:tcPr>
          <w:p w:rsidR="009B0860" w:rsidRDefault="009B0860" w:rsidP="00666317">
            <w:pPr>
              <w:ind w:right="-38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568" w:type="dxa"/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55" w:type="dxa"/>
          </w:tcPr>
          <w:p w:rsidR="009B0860" w:rsidRDefault="009B0860" w:rsidP="00666317">
            <w:pPr>
              <w:spacing w:line="259" w:lineRule="auto"/>
              <w:ind w:right="-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Гарантійний термін експлуатації</w:t>
            </w:r>
          </w:p>
        </w:tc>
        <w:tc>
          <w:tcPr>
            <w:tcW w:w="3290" w:type="dxa"/>
          </w:tcPr>
          <w:p w:rsidR="009B0860" w:rsidRDefault="009B0860" w:rsidP="00666317">
            <w:pPr>
              <w:ind w:right="-3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860" w:rsidRDefault="009B0860" w:rsidP="009B08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Комплектація :</w:t>
      </w:r>
    </w:p>
    <w:tbl>
      <w:tblPr>
        <w:tblW w:w="9780" w:type="dxa"/>
        <w:tblInd w:w="-429" w:type="dxa"/>
        <w:tblLayout w:type="fixed"/>
        <w:tblLook w:val="0000"/>
      </w:tblPr>
      <w:tblGrid>
        <w:gridCol w:w="568"/>
        <w:gridCol w:w="4383"/>
        <w:gridCol w:w="2873"/>
        <w:gridCol w:w="1956"/>
      </w:tblGrid>
      <w:tr w:rsidR="009B0860" w:rsidTr="00666317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860" w:rsidRDefault="009B0860" w:rsidP="0066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Посилання на документ, який підтверджує наявність,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вказанням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сторінок</w:t>
            </w:r>
          </w:p>
        </w:tc>
      </w:tr>
      <w:tr w:rsidR="009B0860" w:rsidTr="00666317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860" w:rsidRDefault="009B0860" w:rsidP="0066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приладу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0" w:rsidRDefault="009B0860" w:rsidP="0066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 штучного ока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Папір для принтера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860" w:rsidRDefault="009B0860" w:rsidP="0066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Папір для підставки для підборіддя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860" w:rsidRDefault="009B0860" w:rsidP="0066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Захисний чохол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860" w:rsidRDefault="009B0860" w:rsidP="0066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Стіл з електроприводом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0" w:rsidRDefault="009B0860" w:rsidP="0066631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860" w:rsidRDefault="009B0860" w:rsidP="009B08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Технічні параметри:</w:t>
      </w:r>
    </w:p>
    <w:tbl>
      <w:tblPr>
        <w:tblW w:w="985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4170"/>
        <w:gridCol w:w="2910"/>
        <w:gridCol w:w="2145"/>
      </w:tblGrid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860" w:rsidRDefault="009B0860" w:rsidP="00666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860" w:rsidRDefault="009B0860" w:rsidP="00666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Посилання на документ, який підтверджує наявність,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вказанням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сторінок</w:t>
            </w: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Функціональні можливості та вимірювальні режими: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кератометрія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рефрактометрія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одночасно (K / R)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рефрактометрія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(REF)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кератометрії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(KER)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вимірювання діаметра зіниці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вимірювання кривизні рогівки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кольорового огляду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функція вимірювання параметрів (кут, довжина, направляючі) посадки контактної лінзи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вимірювань у відбитому світлі  (режим Retro-Illum) з можливістю імпорту збережених даних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функція перегляду та порівняння відзнятих зображень ока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функція перевірки посадки контактної лінзи у синьому світлі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функція жовтого фільтра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Рефрактометрія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Сфера (SPH), 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-30.00 ~ + 25.00D (VD=12 мм) 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Циліндр (CYL), 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0.00 ~ +/- 12.00D </w:t>
            </w:r>
          </w:p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(крок 0.01/0.12/0.25D )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Вісь,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~ 180 °(крок 1)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Вертексна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відстань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0.0; 12.0; 13.75; 15.0;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МЦР (PD), 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~ 85 мм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Мінімальний діаметр зіниці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 мм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Кератометрія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Показник рогівки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25,96 ~ 67,50D (При к=1,3375;  крок 0.05/0.12/0.25D)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Астигматизм рогівки, 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 ~ -15,00D ( крок 0.05/0.12/0.25D)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Радіус кривизни, 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 ~ 13.0 мм (крок 0.01 мм)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Вісь,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~ 180 ° (крок 1)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466"/>
        </w:trPr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Діаметр рогівки, 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 ~ 14.00 мм (крок 0.1мм)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Автоматичний пошук зіниці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вертикалі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Діапазон переміщення упора для підборіддя: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313"/>
        </w:trPr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Вверх-вниз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діапазоні 55-60 мм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269"/>
        </w:trPr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Пам’ять,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результатів (ліве/праве око)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Вбудований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термопринтер</w:t>
            </w:r>
            <w:proofErr w:type="spellEnd"/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Монітор, не менше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дюймів </w:t>
            </w:r>
          </w:p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зображення монітора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Кольоровий LCD IPS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282"/>
        </w:trPr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Екран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Сенсорний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282"/>
        </w:trPr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Живлення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~ 240В, 50 / 60Гц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Споживна потужність</w:t>
            </w:r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1.0-0.6 А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c>
          <w:tcPr>
            <w:tcW w:w="63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7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Функція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енергозберігання</w:t>
            </w:r>
            <w:proofErr w:type="spellEnd"/>
          </w:p>
        </w:tc>
        <w:tc>
          <w:tcPr>
            <w:tcW w:w="291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4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860" w:rsidRDefault="009B0860" w:rsidP="009B08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Інші вимоги</w:t>
      </w:r>
    </w:p>
    <w:tbl>
      <w:tblPr>
        <w:tblW w:w="984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5"/>
        <w:gridCol w:w="4125"/>
        <w:gridCol w:w="3000"/>
        <w:gridCol w:w="2100"/>
      </w:tblGrid>
      <w:tr w:rsidR="009B0860" w:rsidTr="00666317">
        <w:tc>
          <w:tcPr>
            <w:tcW w:w="61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2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Сертифікат  відповідності технічному регламенту 753 щодо медичних виробів</w:t>
            </w:r>
          </w:p>
        </w:tc>
        <w:tc>
          <w:tcPr>
            <w:tcW w:w="30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229"/>
        </w:trPr>
        <w:tc>
          <w:tcPr>
            <w:tcW w:w="61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2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Декларація  відповідності технічному регламенту 753 щодо медичних виробів</w:t>
            </w:r>
          </w:p>
        </w:tc>
        <w:tc>
          <w:tcPr>
            <w:tcW w:w="30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229"/>
        </w:trPr>
        <w:tc>
          <w:tcPr>
            <w:tcW w:w="61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2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 авторизація від виробника обладнання або його уповноваженого представника на території України</w:t>
            </w:r>
          </w:p>
        </w:tc>
        <w:tc>
          <w:tcPr>
            <w:tcW w:w="30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229"/>
        </w:trPr>
        <w:tc>
          <w:tcPr>
            <w:tcW w:w="61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2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Сертифікат інженера, що є підтвердженням можливості інсталяції та сервісного обслуговування обладнання</w:t>
            </w:r>
          </w:p>
        </w:tc>
        <w:tc>
          <w:tcPr>
            <w:tcW w:w="30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0860" w:rsidTr="00666317">
        <w:trPr>
          <w:trHeight w:val="495"/>
        </w:trPr>
        <w:tc>
          <w:tcPr>
            <w:tcW w:w="61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25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Інструкція з експлуатації українською мовою</w:t>
            </w:r>
          </w:p>
        </w:tc>
        <w:tc>
          <w:tcPr>
            <w:tcW w:w="30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2100" w:type="dxa"/>
          </w:tcPr>
          <w:p w:rsidR="009B0860" w:rsidRDefault="009B0860" w:rsidP="006663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860" w:rsidRDefault="009B0860" w:rsidP="009B0860">
      <w:pPr>
        <w:rPr>
          <w:rFonts w:ascii="Times New Roman" w:eastAsia="Times New Roman" w:hAnsi="Times New Roman" w:cs="Times New Roman"/>
        </w:rPr>
      </w:pPr>
    </w:p>
    <w:p w:rsidR="006876F9" w:rsidRPr="006876F9" w:rsidRDefault="006876F9" w:rsidP="006876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F9">
        <w:rPr>
          <w:rFonts w:ascii="Times New Roman" w:hAnsi="Times New Roman" w:cs="Times New Roman"/>
          <w:b/>
          <w:sz w:val="24"/>
          <w:szCs w:val="24"/>
        </w:rPr>
        <w:t>Загальні вимоги:</w:t>
      </w:r>
    </w:p>
    <w:p w:rsidR="006876F9" w:rsidRPr="006876F9" w:rsidRDefault="006876F9" w:rsidP="006876F9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F9">
        <w:rPr>
          <w:rFonts w:ascii="Times New Roman" w:hAnsi="Times New Roman" w:cs="Times New Roman"/>
          <w:sz w:val="24"/>
          <w:szCs w:val="24"/>
        </w:rPr>
        <w:t xml:space="preserve">Товар повинен бути якісним та мати документи, що підтверджують проведення оцінки відповідності запропонованого товару вимогам технічного регламенту, (копія сертифікату </w:t>
      </w:r>
      <w:r w:rsidRPr="006876F9">
        <w:rPr>
          <w:rFonts w:ascii="Times New Roman" w:hAnsi="Times New Roman" w:cs="Times New Roman"/>
          <w:sz w:val="24"/>
          <w:szCs w:val="24"/>
        </w:rPr>
        <w:lastRenderedPageBreak/>
        <w:t xml:space="preserve">або свідоцтва або декларації про відповідність, або іншими документами, передбаченими чинним законодавством) на товар, що закуповується, якщо товар підлягає реєстрації. Якщо товар не підлягає реєстрації, необхідно надати лист пояснення з посиланням на нормативно-правові акти та обґрунтуванням ненадання посвідчення/свідоцтва. Копії вищезазначених документів подаються завірені підписом та печаткою учасника (за наявності) (надається у складі тендерної пропозиції). </w:t>
      </w:r>
    </w:p>
    <w:p w:rsidR="006876F9" w:rsidRPr="006876F9" w:rsidRDefault="006876F9" w:rsidP="006876F9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F9">
        <w:rPr>
          <w:rFonts w:ascii="Times New Roman" w:hAnsi="Times New Roman" w:cs="Times New Roman"/>
          <w:sz w:val="24"/>
          <w:szCs w:val="24"/>
        </w:rPr>
        <w:t>Термін придатності предмету закупівлі на момент поставки має становити не менше, ніж 80% від загального терміну придатності визначеного виробником. (надати гарантійний лист).</w:t>
      </w:r>
    </w:p>
    <w:p w:rsidR="006876F9" w:rsidRPr="006876F9" w:rsidRDefault="006876F9" w:rsidP="006876F9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F9">
        <w:rPr>
          <w:rFonts w:ascii="Times New Roman" w:hAnsi="Times New Roman" w:cs="Times New Roman"/>
          <w:sz w:val="24"/>
          <w:szCs w:val="24"/>
        </w:rPr>
        <w:t>Товар поставляється за рахунок і транспортом Постачальника в кількості згідно заявок на адресу Замовника. Для підтвердження учасник надає гарантійний лист про термін поставки товару у кількості та в терміни, визначені документацією закупівлі.</w:t>
      </w:r>
    </w:p>
    <w:p w:rsidR="006876F9" w:rsidRPr="006876F9" w:rsidRDefault="006876F9" w:rsidP="006876F9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F9">
        <w:rPr>
          <w:rFonts w:ascii="Times New Roman" w:hAnsi="Times New Roman" w:cs="Times New Roman"/>
          <w:sz w:val="24"/>
          <w:szCs w:val="24"/>
        </w:rPr>
        <w:t>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виробника (представника, дилера, дистриб'ютора), яким підтверджується можливість поставки товару, який є предметом закупівлі цих торгів, у необхідній кількості та якості. Лист повинен також включати в себе: назву Учасника, номер оголошення, а також назву предмета закупівлі, найменування товару і його кількість.</w:t>
      </w:r>
    </w:p>
    <w:p w:rsidR="006876F9" w:rsidRPr="006876F9" w:rsidRDefault="006876F9" w:rsidP="006876F9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F9">
        <w:rPr>
          <w:rFonts w:ascii="Times New Roman" w:hAnsi="Times New Roman" w:cs="Times New Roman"/>
          <w:sz w:val="24"/>
          <w:szCs w:val="24"/>
        </w:rPr>
        <w:t>Предмет закупівлі повинен мати інструкцію чи текст маркування (етикетування) з застосування та сертифікат якості чи технічний паспорт. Для підтвердження учасник надає гарантійний лист про те, що вказані документи будуть надані при поставці товару.</w:t>
      </w:r>
    </w:p>
    <w:p w:rsidR="006876F9" w:rsidRPr="006876F9" w:rsidRDefault="006876F9" w:rsidP="00687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6F9" w:rsidRPr="006876F9" w:rsidRDefault="006876F9" w:rsidP="006876F9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6F9" w:rsidRPr="006876F9" w:rsidRDefault="006876F9" w:rsidP="006876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76F9" w:rsidRPr="006876F9" w:rsidSect="00EB7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B6" w:rsidRDefault="00E605B6" w:rsidP="00BD1386">
      <w:pPr>
        <w:spacing w:after="0" w:line="240" w:lineRule="auto"/>
      </w:pPr>
      <w:r>
        <w:separator/>
      </w:r>
    </w:p>
  </w:endnote>
  <w:endnote w:type="continuationSeparator" w:id="0">
    <w:p w:rsidR="00E605B6" w:rsidRDefault="00E605B6" w:rsidP="00BD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3551"/>
      <w:docPartObj>
        <w:docPartGallery w:val="Page Numbers (Bottom of Page)"/>
        <w:docPartUnique/>
      </w:docPartObj>
    </w:sdtPr>
    <w:sdtContent>
      <w:p w:rsidR="00704C6A" w:rsidRDefault="00DF13DA">
        <w:pPr>
          <w:pStyle w:val="af"/>
          <w:jc w:val="right"/>
        </w:pPr>
        <w:fldSimple w:instr=" PAGE   \* MERGEFORMAT ">
          <w:r w:rsidR="009B0860">
            <w:rPr>
              <w:noProof/>
            </w:rPr>
            <w:t>4</w:t>
          </w:r>
        </w:fldSimple>
      </w:p>
    </w:sdtContent>
  </w:sdt>
  <w:p w:rsidR="00704C6A" w:rsidRDefault="00704C6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B6" w:rsidRDefault="00E605B6" w:rsidP="00BD1386">
      <w:pPr>
        <w:spacing w:after="0" w:line="240" w:lineRule="auto"/>
      </w:pPr>
      <w:r>
        <w:separator/>
      </w:r>
    </w:p>
  </w:footnote>
  <w:footnote w:type="continuationSeparator" w:id="0">
    <w:p w:rsidR="00E605B6" w:rsidRDefault="00E605B6" w:rsidP="00BD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51A"/>
    <w:multiLevelType w:val="multilevel"/>
    <w:tmpl w:val="EE5CD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F81526"/>
    <w:multiLevelType w:val="hybridMultilevel"/>
    <w:tmpl w:val="9B489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14C6"/>
    <w:multiLevelType w:val="hybridMultilevel"/>
    <w:tmpl w:val="5018F7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C86648E"/>
    <w:multiLevelType w:val="hybridMultilevel"/>
    <w:tmpl w:val="5A58528A"/>
    <w:lvl w:ilvl="0" w:tplc="5CA468C8">
      <w:start w:val="2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7EEA31D0"/>
    <w:multiLevelType w:val="multilevel"/>
    <w:tmpl w:val="74C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B56"/>
    <w:rsid w:val="00011F84"/>
    <w:rsid w:val="0003101E"/>
    <w:rsid w:val="0005591F"/>
    <w:rsid w:val="00067366"/>
    <w:rsid w:val="0009768D"/>
    <w:rsid w:val="000A1A8E"/>
    <w:rsid w:val="000B00CE"/>
    <w:rsid w:val="000D4226"/>
    <w:rsid w:val="001069F1"/>
    <w:rsid w:val="001133E0"/>
    <w:rsid w:val="001266A9"/>
    <w:rsid w:val="00161B9E"/>
    <w:rsid w:val="00166332"/>
    <w:rsid w:val="00187B75"/>
    <w:rsid w:val="00191F7B"/>
    <w:rsid w:val="001B1D18"/>
    <w:rsid w:val="001B31F2"/>
    <w:rsid w:val="001C3054"/>
    <w:rsid w:val="001C673A"/>
    <w:rsid w:val="001F4BB3"/>
    <w:rsid w:val="00200D4C"/>
    <w:rsid w:val="00207FC3"/>
    <w:rsid w:val="00212553"/>
    <w:rsid w:val="002149EA"/>
    <w:rsid w:val="00221AA7"/>
    <w:rsid w:val="002363C2"/>
    <w:rsid w:val="002374E2"/>
    <w:rsid w:val="00237524"/>
    <w:rsid w:val="00246307"/>
    <w:rsid w:val="00246B27"/>
    <w:rsid w:val="00267F78"/>
    <w:rsid w:val="00273F95"/>
    <w:rsid w:val="00285CD4"/>
    <w:rsid w:val="00292305"/>
    <w:rsid w:val="0029447C"/>
    <w:rsid w:val="002A0518"/>
    <w:rsid w:val="002A41C5"/>
    <w:rsid w:val="002A69E5"/>
    <w:rsid w:val="002A7029"/>
    <w:rsid w:val="002B2085"/>
    <w:rsid w:val="002C58B0"/>
    <w:rsid w:val="002E7740"/>
    <w:rsid w:val="002F06D4"/>
    <w:rsid w:val="002F0C95"/>
    <w:rsid w:val="003038B3"/>
    <w:rsid w:val="00311527"/>
    <w:rsid w:val="00326D68"/>
    <w:rsid w:val="0033327E"/>
    <w:rsid w:val="00335D89"/>
    <w:rsid w:val="003464E6"/>
    <w:rsid w:val="003469DB"/>
    <w:rsid w:val="00363A59"/>
    <w:rsid w:val="00365CC7"/>
    <w:rsid w:val="00370CFF"/>
    <w:rsid w:val="00373DA4"/>
    <w:rsid w:val="00382108"/>
    <w:rsid w:val="003857AE"/>
    <w:rsid w:val="00387ABA"/>
    <w:rsid w:val="003A2704"/>
    <w:rsid w:val="003B064B"/>
    <w:rsid w:val="003D079F"/>
    <w:rsid w:val="003D3BC7"/>
    <w:rsid w:val="003D6B06"/>
    <w:rsid w:val="003E1CED"/>
    <w:rsid w:val="003E2AC1"/>
    <w:rsid w:val="003E3C12"/>
    <w:rsid w:val="00405829"/>
    <w:rsid w:val="00407446"/>
    <w:rsid w:val="0041490D"/>
    <w:rsid w:val="00424255"/>
    <w:rsid w:val="004404A8"/>
    <w:rsid w:val="004715D1"/>
    <w:rsid w:val="00472F9E"/>
    <w:rsid w:val="00475425"/>
    <w:rsid w:val="004A5076"/>
    <w:rsid w:val="004C1099"/>
    <w:rsid w:val="004C1C42"/>
    <w:rsid w:val="004C60F7"/>
    <w:rsid w:val="004E68CC"/>
    <w:rsid w:val="004E7393"/>
    <w:rsid w:val="004F0D2C"/>
    <w:rsid w:val="00512E6B"/>
    <w:rsid w:val="0055245D"/>
    <w:rsid w:val="00553BAC"/>
    <w:rsid w:val="00560E62"/>
    <w:rsid w:val="0057622A"/>
    <w:rsid w:val="00595873"/>
    <w:rsid w:val="005A5193"/>
    <w:rsid w:val="005B64C7"/>
    <w:rsid w:val="005D600D"/>
    <w:rsid w:val="00612A6B"/>
    <w:rsid w:val="00620E79"/>
    <w:rsid w:val="00633E18"/>
    <w:rsid w:val="00635D39"/>
    <w:rsid w:val="00644487"/>
    <w:rsid w:val="00661007"/>
    <w:rsid w:val="006649C7"/>
    <w:rsid w:val="006769EC"/>
    <w:rsid w:val="006876F9"/>
    <w:rsid w:val="0069529C"/>
    <w:rsid w:val="006A0001"/>
    <w:rsid w:val="006C32D1"/>
    <w:rsid w:val="006E13FF"/>
    <w:rsid w:val="006E1AAC"/>
    <w:rsid w:val="006F6DAE"/>
    <w:rsid w:val="00704C6A"/>
    <w:rsid w:val="00711FE1"/>
    <w:rsid w:val="00713F7E"/>
    <w:rsid w:val="007266D0"/>
    <w:rsid w:val="00776B1E"/>
    <w:rsid w:val="00781ACA"/>
    <w:rsid w:val="00790EE4"/>
    <w:rsid w:val="00796013"/>
    <w:rsid w:val="007B0362"/>
    <w:rsid w:val="007B7234"/>
    <w:rsid w:val="007C0F35"/>
    <w:rsid w:val="007C5E2B"/>
    <w:rsid w:val="007D573F"/>
    <w:rsid w:val="007E4E5B"/>
    <w:rsid w:val="007E55A0"/>
    <w:rsid w:val="007F1B56"/>
    <w:rsid w:val="00821BC0"/>
    <w:rsid w:val="00867BC5"/>
    <w:rsid w:val="008759BF"/>
    <w:rsid w:val="00876CB3"/>
    <w:rsid w:val="008975A7"/>
    <w:rsid w:val="008A4D99"/>
    <w:rsid w:val="008C734C"/>
    <w:rsid w:val="008C7F77"/>
    <w:rsid w:val="008D66BA"/>
    <w:rsid w:val="008D7175"/>
    <w:rsid w:val="00900A0F"/>
    <w:rsid w:val="00905FD9"/>
    <w:rsid w:val="0090607B"/>
    <w:rsid w:val="009105FE"/>
    <w:rsid w:val="009150E1"/>
    <w:rsid w:val="009221B8"/>
    <w:rsid w:val="00934CD4"/>
    <w:rsid w:val="009350E5"/>
    <w:rsid w:val="0095058C"/>
    <w:rsid w:val="00950C26"/>
    <w:rsid w:val="00951717"/>
    <w:rsid w:val="00963180"/>
    <w:rsid w:val="00985680"/>
    <w:rsid w:val="00986473"/>
    <w:rsid w:val="009A474B"/>
    <w:rsid w:val="009B0860"/>
    <w:rsid w:val="009C29B2"/>
    <w:rsid w:val="009D328C"/>
    <w:rsid w:val="009D7B65"/>
    <w:rsid w:val="009F116F"/>
    <w:rsid w:val="00A10004"/>
    <w:rsid w:val="00A13D2A"/>
    <w:rsid w:val="00A172DD"/>
    <w:rsid w:val="00A33FF4"/>
    <w:rsid w:val="00A53E02"/>
    <w:rsid w:val="00A54079"/>
    <w:rsid w:val="00A55CD1"/>
    <w:rsid w:val="00A579E7"/>
    <w:rsid w:val="00A66309"/>
    <w:rsid w:val="00A72650"/>
    <w:rsid w:val="00A7721D"/>
    <w:rsid w:val="00A90028"/>
    <w:rsid w:val="00AA2010"/>
    <w:rsid w:val="00AC3403"/>
    <w:rsid w:val="00AD6C21"/>
    <w:rsid w:val="00AE7FC2"/>
    <w:rsid w:val="00B00693"/>
    <w:rsid w:val="00B041FC"/>
    <w:rsid w:val="00B21BDD"/>
    <w:rsid w:val="00B300BB"/>
    <w:rsid w:val="00B45A14"/>
    <w:rsid w:val="00B55195"/>
    <w:rsid w:val="00B62CB9"/>
    <w:rsid w:val="00B67313"/>
    <w:rsid w:val="00B77C8F"/>
    <w:rsid w:val="00B807C4"/>
    <w:rsid w:val="00B86ADB"/>
    <w:rsid w:val="00B96280"/>
    <w:rsid w:val="00BD1386"/>
    <w:rsid w:val="00BD5787"/>
    <w:rsid w:val="00BD79D7"/>
    <w:rsid w:val="00BE0135"/>
    <w:rsid w:val="00BF3C4D"/>
    <w:rsid w:val="00BF4DFD"/>
    <w:rsid w:val="00C21265"/>
    <w:rsid w:val="00C25FAE"/>
    <w:rsid w:val="00C3272D"/>
    <w:rsid w:val="00C36032"/>
    <w:rsid w:val="00C542C5"/>
    <w:rsid w:val="00C56A2F"/>
    <w:rsid w:val="00C62DA3"/>
    <w:rsid w:val="00C7040B"/>
    <w:rsid w:val="00C713D3"/>
    <w:rsid w:val="00C74413"/>
    <w:rsid w:val="00C76E23"/>
    <w:rsid w:val="00C94D01"/>
    <w:rsid w:val="00CC1344"/>
    <w:rsid w:val="00CC6EEA"/>
    <w:rsid w:val="00CD3047"/>
    <w:rsid w:val="00CE4C30"/>
    <w:rsid w:val="00CE50E1"/>
    <w:rsid w:val="00CE69F7"/>
    <w:rsid w:val="00CF5B41"/>
    <w:rsid w:val="00D12012"/>
    <w:rsid w:val="00D14900"/>
    <w:rsid w:val="00D16B66"/>
    <w:rsid w:val="00D40CEB"/>
    <w:rsid w:val="00D460C7"/>
    <w:rsid w:val="00DB0443"/>
    <w:rsid w:val="00DB3EFF"/>
    <w:rsid w:val="00DC2099"/>
    <w:rsid w:val="00DF13DA"/>
    <w:rsid w:val="00E019B0"/>
    <w:rsid w:val="00E115E6"/>
    <w:rsid w:val="00E22BB7"/>
    <w:rsid w:val="00E247D0"/>
    <w:rsid w:val="00E43461"/>
    <w:rsid w:val="00E5119D"/>
    <w:rsid w:val="00E605B6"/>
    <w:rsid w:val="00E64C28"/>
    <w:rsid w:val="00E8395B"/>
    <w:rsid w:val="00EB6179"/>
    <w:rsid w:val="00EB7F2C"/>
    <w:rsid w:val="00EC2CE0"/>
    <w:rsid w:val="00EE03B9"/>
    <w:rsid w:val="00EE4EBA"/>
    <w:rsid w:val="00F528C3"/>
    <w:rsid w:val="00F547F5"/>
    <w:rsid w:val="00F60FC1"/>
    <w:rsid w:val="00F70B97"/>
    <w:rsid w:val="00F73B2C"/>
    <w:rsid w:val="00F925C0"/>
    <w:rsid w:val="00FB268A"/>
    <w:rsid w:val="00FD2DB8"/>
    <w:rsid w:val="00FD637B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C"/>
  </w:style>
  <w:style w:type="paragraph" w:styleId="1">
    <w:name w:val="heading 1"/>
    <w:basedOn w:val="a"/>
    <w:link w:val="10"/>
    <w:uiPriority w:val="9"/>
    <w:qFormat/>
    <w:rsid w:val="0082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C7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6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1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 Знак Знак"/>
    <w:link w:val="a5"/>
    <w:locked/>
    <w:rsid w:val="00F547F5"/>
    <w:rPr>
      <w:rFonts w:cs="Times New Roman CYR"/>
    </w:rPr>
  </w:style>
  <w:style w:type="paragraph" w:customStyle="1" w:styleId="a5">
    <w:name w:val="Без интервала Знак Знак"/>
    <w:link w:val="a4"/>
    <w:qFormat/>
    <w:rsid w:val="00F547F5"/>
    <w:pPr>
      <w:spacing w:after="0" w:line="240" w:lineRule="auto"/>
    </w:pPr>
    <w:rPr>
      <w:rFonts w:cs="Times New Roman CYR"/>
    </w:rPr>
  </w:style>
  <w:style w:type="paragraph" w:styleId="HTML">
    <w:name w:val="HTML Preformatted"/>
    <w:aliases w:val="Знак,Знак9"/>
    <w:basedOn w:val="a"/>
    <w:link w:val="HTML0"/>
    <w:qFormat/>
    <w:rsid w:val="006E1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1,Знак9 Знак1"/>
    <w:basedOn w:val="a0"/>
    <w:link w:val="HTML"/>
    <w:uiPriority w:val="99"/>
    <w:rsid w:val="006E1AAC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3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327E"/>
    <w:rPr>
      <w:b/>
      <w:bCs/>
    </w:rPr>
  </w:style>
  <w:style w:type="paragraph" w:customStyle="1" w:styleId="11">
    <w:name w:val="Обычный1"/>
    <w:rsid w:val="00346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rsid w:val="00F925C0"/>
    <w:pPr>
      <w:spacing w:after="0" w:line="240" w:lineRule="auto"/>
      <w:ind w:left="567" w:right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F92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F925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7B0362"/>
    <w:rPr>
      <w:i/>
      <w:iCs/>
    </w:rPr>
  </w:style>
  <w:style w:type="paragraph" w:customStyle="1" w:styleId="Heading2">
    <w:name w:val="Heading 2"/>
    <w:basedOn w:val="a"/>
    <w:uiPriority w:val="1"/>
    <w:qFormat/>
    <w:rsid w:val="007266D0"/>
    <w:pPr>
      <w:widowControl w:val="0"/>
      <w:autoSpaceDE w:val="0"/>
      <w:autoSpaceDN w:val="0"/>
      <w:spacing w:after="0" w:line="240" w:lineRule="auto"/>
      <w:ind w:left="626" w:right="636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a0"/>
    <w:rsid w:val="007D573F"/>
  </w:style>
  <w:style w:type="character" w:styleId="ac">
    <w:name w:val="Hyperlink"/>
    <w:basedOn w:val="a0"/>
    <w:uiPriority w:val="99"/>
    <w:semiHidden/>
    <w:unhideWhenUsed/>
    <w:rsid w:val="00C7441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D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1386"/>
  </w:style>
  <w:style w:type="paragraph" w:styleId="af">
    <w:name w:val="footer"/>
    <w:basedOn w:val="a"/>
    <w:link w:val="af0"/>
    <w:uiPriority w:val="99"/>
    <w:unhideWhenUsed/>
    <w:rsid w:val="00BD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1386"/>
  </w:style>
  <w:style w:type="paragraph" w:customStyle="1" w:styleId="WW-1">
    <w:name w:val="WW-Базовый1"/>
    <w:rsid w:val="00BD138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normal">
    <w:name w:val="normal"/>
    <w:rsid w:val="00BD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1">
    <w:name w:val="Стандартный HTML Знак1"/>
    <w:aliases w:val="Знак Знак,Знак9 Знак"/>
    <w:locked/>
    <w:rsid w:val="00285CD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1">
    <w:name w:val="No Spacing"/>
    <w:link w:val="af2"/>
    <w:uiPriority w:val="99"/>
    <w:qFormat/>
    <w:rsid w:val="004715D1"/>
    <w:pPr>
      <w:spacing w:after="120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uiPriority w:val="1"/>
    <w:rsid w:val="004715D1"/>
    <w:rPr>
      <w:rFonts w:ascii="Calibri" w:eastAsia="Calibri" w:hAnsi="Calibri" w:cs="Calibri"/>
    </w:rPr>
  </w:style>
  <w:style w:type="paragraph" w:styleId="af3">
    <w:name w:val="Plain Text"/>
    <w:basedOn w:val="a"/>
    <w:link w:val="12"/>
    <w:unhideWhenUsed/>
    <w:rsid w:val="001C67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1C673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3"/>
    <w:locked/>
    <w:rsid w:val="001C67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List Paragraph"/>
    <w:basedOn w:val="a"/>
    <w:uiPriority w:val="34"/>
    <w:qFormat/>
    <w:rsid w:val="0005591F"/>
    <w:pPr>
      <w:ind w:left="720"/>
      <w:contextualSpacing/>
    </w:pPr>
  </w:style>
  <w:style w:type="paragraph" w:styleId="af6">
    <w:name w:val="Title"/>
    <w:basedOn w:val="a"/>
    <w:link w:val="af7"/>
    <w:uiPriority w:val="99"/>
    <w:qFormat/>
    <w:rsid w:val="001B1D1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val="ru-RU" w:eastAsia="ru-RU"/>
    </w:rPr>
  </w:style>
  <w:style w:type="character" w:customStyle="1" w:styleId="af7">
    <w:name w:val="Название Знак"/>
    <w:basedOn w:val="a0"/>
    <w:link w:val="af6"/>
    <w:uiPriority w:val="99"/>
    <w:rsid w:val="001B1D18"/>
    <w:rPr>
      <w:rFonts w:ascii="Arial" w:eastAsia="Times New Roman" w:hAnsi="Arial" w:cs="Times New Roman"/>
      <w:b/>
      <w:color w:val="000000"/>
      <w:sz w:val="20"/>
      <w:szCs w:val="20"/>
      <w:lang w:val="ru-RU" w:eastAsia="ru-RU"/>
    </w:rPr>
  </w:style>
  <w:style w:type="character" w:customStyle="1" w:styleId="af8">
    <w:name w:val="Колонтитул_"/>
    <w:basedOn w:val="a0"/>
    <w:link w:val="af9"/>
    <w:locked/>
    <w:rsid w:val="001B1D18"/>
    <w:rPr>
      <w:shd w:val="clear" w:color="auto" w:fill="FFFFFF"/>
    </w:rPr>
  </w:style>
  <w:style w:type="paragraph" w:customStyle="1" w:styleId="af9">
    <w:name w:val="Колонтитул"/>
    <w:basedOn w:val="a"/>
    <w:link w:val="af8"/>
    <w:rsid w:val="001B1D18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paragraph" w:customStyle="1" w:styleId="13">
    <w:name w:val="Без интервала1"/>
    <w:uiPriority w:val="99"/>
    <w:rsid w:val="00267F78"/>
    <w:pPr>
      <w:spacing w:after="0" w:line="240" w:lineRule="auto"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FR2">
    <w:name w:val="FR2"/>
    <w:uiPriority w:val="99"/>
    <w:rsid w:val="00267F7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54FA-900B-4307-AA26-6676AC8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170</cp:revision>
  <cp:lastPrinted>2024-03-06T13:46:00Z</cp:lastPrinted>
  <dcterms:created xsi:type="dcterms:W3CDTF">2023-05-23T12:57:00Z</dcterms:created>
  <dcterms:modified xsi:type="dcterms:W3CDTF">2024-03-06T13:46:00Z</dcterms:modified>
</cp:coreProperties>
</file>