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1" w:rsidRDefault="00084A51" w:rsidP="00D3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C0" w:rsidRPr="00247358" w:rsidRDefault="00D30E08" w:rsidP="0087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358">
        <w:rPr>
          <w:rFonts w:ascii="Times New Roman" w:hAnsi="Times New Roman" w:cs="Times New Roman"/>
          <w:b/>
          <w:i/>
          <w:sz w:val="24"/>
          <w:szCs w:val="24"/>
        </w:rPr>
        <w:t>Перелік змін до тендерної документації за предметом закупівлі</w:t>
      </w:r>
    </w:p>
    <w:p w:rsidR="00100DA9" w:rsidRDefault="00100DA9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150228"/>
      <w:r w:rsidRPr="00460084">
        <w:rPr>
          <w:rFonts w:ascii="Times New Roman" w:hAnsi="Times New Roman" w:cs="Times New Roman"/>
          <w:b/>
          <w:sz w:val="24"/>
          <w:szCs w:val="24"/>
        </w:rPr>
        <w:t>«ДК 021:2015-</w:t>
      </w:r>
      <w:r w:rsidR="00226C20" w:rsidRPr="005402A0">
        <w:rPr>
          <w:rFonts w:ascii="Times New Roman" w:hAnsi="Times New Roman"/>
          <w:b/>
          <w:sz w:val="24"/>
          <w:szCs w:val="24"/>
        </w:rPr>
        <w:t>09310000-5 - Електрична енергія; (Електрична енергія)</w:t>
      </w:r>
      <w:r w:rsidRPr="0046008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A6148" w:rsidRDefault="009A6148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55"/>
      </w:tblGrid>
      <w:tr w:rsidR="00D30E08" w:rsidRPr="00C8080A" w:rsidTr="008B6E4A">
        <w:trPr>
          <w:trHeight w:val="365"/>
        </w:trPr>
        <w:tc>
          <w:tcPr>
            <w:tcW w:w="2660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</w:t>
            </w:r>
          </w:p>
        </w:tc>
        <w:tc>
          <w:tcPr>
            <w:tcW w:w="3544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Стара редакція</w:t>
            </w:r>
          </w:p>
        </w:tc>
        <w:tc>
          <w:tcPr>
            <w:tcW w:w="3655" w:type="dxa"/>
          </w:tcPr>
          <w:p w:rsidR="00D30E08" w:rsidRPr="009F5038" w:rsidRDefault="00D30E08" w:rsidP="00D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38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</w:tc>
      </w:tr>
      <w:tr w:rsidR="002315BD" w:rsidRPr="00C8080A" w:rsidTr="008B6E4A">
        <w:trPr>
          <w:trHeight w:val="365"/>
        </w:trPr>
        <w:tc>
          <w:tcPr>
            <w:tcW w:w="2660" w:type="dxa"/>
          </w:tcPr>
          <w:p w:rsidR="00075B23" w:rsidRDefault="002315BD" w:rsidP="00075B23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Тендерн</w:t>
            </w:r>
            <w:proofErr w:type="spellEnd"/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документаці</w:t>
            </w:r>
            <w:proofErr w:type="spellEnd"/>
            <w:r w:rsidR="00075B23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  <w:r w:rsidR="00075B23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75B23" w:rsidRPr="00A72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="009B3997" w:rsidRPr="00A72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5. Оцінка тендерної пропозиції</w:t>
            </w:r>
            <w:r w:rsidR="009B39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2315BD" w:rsidRPr="009B3997" w:rsidRDefault="00075B23" w:rsidP="009B3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9B3997" w:rsidRPr="009B3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3544" w:type="dxa"/>
          </w:tcPr>
          <w:p w:rsidR="006D2E4C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Порядок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розрахунку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ціни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Учасника</w:t>
            </w:r>
            <w:proofErr w:type="spellEnd"/>
          </w:p>
          <w:p w:rsidR="006D2E4C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Ціною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є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ціна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що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включає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купівлі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ринку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«на добу наперед» (далі ціна </w:t>
            </w:r>
            <w:proofErr w:type="gramStart"/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РДН)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 оплату за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передачі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Постачальника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>та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сплату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податків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6D2E4C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Розрахунок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вартості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пропозиції</w:t>
            </w:r>
            <w:proofErr w:type="spellEnd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Учасника</w:t>
            </w:r>
            <w:proofErr w:type="spellEnd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повинен</w:t>
            </w:r>
            <w:proofErr w:type="gramEnd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здійснюватися</w:t>
            </w:r>
            <w:proofErr w:type="spellEnd"/>
            <w:r w:rsidR="0011335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наступним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чином:</w:t>
            </w:r>
          </w:p>
          <w:p w:rsidR="006D2E4C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 = (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Ц_прогн.рдн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+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Т_пер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+ М)×</w:t>
            </w:r>
            <w:r w:rsidRPr="00ED4FB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D4FBA">
              <w:rPr>
                <w:rFonts w:ascii="Times New Roman" w:hAnsi="Times New Roman" w:cs="Times New Roman"/>
                <w:color w:val="000000"/>
              </w:rPr>
              <w:t>план</w:t>
            </w:r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×1,2 де ,</w:t>
            </w:r>
          </w:p>
          <w:p w:rsidR="006D2E4C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ціна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</w:rPr>
              <w:t>,</w:t>
            </w:r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грн.</w:t>
            </w:r>
            <w:r w:rsidRPr="00ED4FBA">
              <w:rPr>
                <w:rFonts w:ascii="Times New Roman" w:hAnsi="Times New Roman" w:cs="Times New Roman"/>
                <w:color w:val="000000"/>
              </w:rPr>
              <w:t xml:space="preserve"> з ПДВ</w:t>
            </w:r>
          </w:p>
          <w:p w:rsidR="002315BD" w:rsidRPr="00ED4FBA" w:rsidRDefault="006D2E4C" w:rsidP="006D2E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4FBA">
              <w:rPr>
                <w:rFonts w:ascii="Times New Roman" w:hAnsi="Times New Roman" w:cs="Times New Roman"/>
                <w:color w:val="000000"/>
              </w:rPr>
              <w:t>Ц_прогн.рдн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</w:rPr>
              <w:t>.– прогнозована ціна РДН, яка для даної закупівлі становить – 4,3578 грн. за 1 кВт*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</w:rPr>
              <w:t xml:space="preserve"> без ПДВ, (визначена як середньозважена ціна на РДН за листопад 2023 року за даними ДП «Оператор ринку» розміщеними на його веб-сайті</w:t>
            </w:r>
            <w:hyperlink r:id="rId6" w:history="1">
              <w:r w:rsidRPr="00ED4FBA">
                <w:rPr>
                  <w:rStyle w:val="a5"/>
                  <w:rFonts w:ascii="Times New Roman" w:hAnsi="Times New Roman" w:cs="Times New Roman"/>
                  <w:color w:val="000000"/>
                </w:rPr>
                <w:t xml:space="preserve"> </w:t>
              </w:r>
              <w:r w:rsidRPr="00ED4FBA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www</w:t>
              </w:r>
              <w:r w:rsidRPr="00ED4FBA">
                <w:rPr>
                  <w:rStyle w:val="a5"/>
                  <w:rFonts w:ascii="Times New Roman" w:hAnsi="Times New Roman" w:cs="Times New Roman"/>
                  <w:color w:val="000000"/>
                </w:rPr>
                <w:t>.</w:t>
              </w:r>
              <w:proofErr w:type="spellStart"/>
              <w:r w:rsidRPr="00ED4FBA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oree</w:t>
              </w:r>
              <w:proofErr w:type="spellEnd"/>
              <w:r w:rsidRPr="00ED4FBA">
                <w:rPr>
                  <w:rStyle w:val="a5"/>
                  <w:rFonts w:ascii="Times New Roman" w:hAnsi="Times New Roman" w:cs="Times New Roman"/>
                  <w:color w:val="000000"/>
                </w:rPr>
                <w:t>.</w:t>
              </w:r>
              <w:r w:rsidRPr="00ED4FBA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com</w:t>
              </w:r>
              <w:r w:rsidRPr="00ED4FBA">
                <w:rPr>
                  <w:rStyle w:val="a5"/>
                  <w:rFonts w:ascii="Times New Roman" w:hAnsi="Times New Roman" w:cs="Times New Roman"/>
                  <w:color w:val="000000"/>
                </w:rPr>
                <w:t>.</w:t>
              </w:r>
              <w:proofErr w:type="spellStart"/>
              <w:r w:rsidRPr="00ED4FBA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ua</w:t>
              </w:r>
              <w:proofErr w:type="spellEnd"/>
              <w:r w:rsidRPr="00ED4FBA">
                <w:rPr>
                  <w:rStyle w:val="a5"/>
                  <w:rFonts w:ascii="Times New Roman" w:hAnsi="Times New Roman" w:cs="Times New Roman"/>
                  <w:color w:val="000000"/>
                </w:rPr>
                <w:t xml:space="preserve"> </w:t>
              </w:r>
            </w:hyperlink>
            <w:r w:rsidRPr="00ED4FBA">
              <w:rPr>
                <w:rFonts w:ascii="Times New Roman" w:hAnsi="Times New Roman" w:cs="Times New Roman"/>
                <w:color w:val="000000"/>
              </w:rPr>
              <w:t xml:space="preserve">з врахуванням покриття вартості купівлі електричної енергії на інших сегментах ринку електричної енергії (15 % від </w:t>
            </w:r>
            <w:r w:rsidRPr="00ED4FBA">
              <w:rPr>
                <w:rFonts w:ascii="Times New Roman" w:hAnsi="Times New Roman" w:cs="Times New Roman"/>
                <w:color w:val="000000"/>
              </w:rPr>
              <w:t xml:space="preserve">середньозваженої ціни на РДН). </w:t>
            </w:r>
          </w:p>
        </w:tc>
        <w:tc>
          <w:tcPr>
            <w:tcW w:w="3655" w:type="dxa"/>
          </w:tcPr>
          <w:p w:rsidR="008B6E4A" w:rsidRPr="00ED4FBA" w:rsidRDefault="008B6E4A" w:rsidP="008B6E4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Порядок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розрахунку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ціни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Учасника</w:t>
            </w:r>
            <w:proofErr w:type="spellEnd"/>
          </w:p>
          <w:p w:rsidR="008B6E4A" w:rsidRPr="00ED4FBA" w:rsidRDefault="008B6E4A" w:rsidP="008B6E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Ціною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є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ціна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що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включає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купівлі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ринку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«на добу наперед» (далі ціна </w:t>
            </w:r>
            <w:proofErr w:type="gramStart"/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РДН)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 оплату за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передачі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електричної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енергії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послуг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Постачальника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</w:rPr>
              <w:t>та</w:t>
            </w:r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сплату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податків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8B6E4A" w:rsidRPr="00ED4FBA" w:rsidRDefault="008B6E4A" w:rsidP="008B6E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Розрахунок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вартості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Учасника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повинен</w:t>
            </w:r>
            <w:proofErr w:type="gram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здійснюватися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наступним</w:t>
            </w:r>
            <w:proofErr w:type="spellEnd"/>
            <w:r w:rsidRPr="00ED4FB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чином:</w:t>
            </w:r>
          </w:p>
          <w:p w:rsidR="008B6E4A" w:rsidRPr="00ED4FBA" w:rsidRDefault="008B6E4A" w:rsidP="008B6E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 = (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Ц_прогн.рдн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+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Т_пер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+ М)×</w:t>
            </w:r>
            <w:r w:rsidRPr="00ED4FB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D4FBA">
              <w:rPr>
                <w:rFonts w:ascii="Times New Roman" w:hAnsi="Times New Roman" w:cs="Times New Roman"/>
                <w:color w:val="000000"/>
              </w:rPr>
              <w:t>план</w:t>
            </w:r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×1,2 де ,</w:t>
            </w:r>
          </w:p>
          <w:p w:rsidR="008B6E4A" w:rsidRPr="00ED4FBA" w:rsidRDefault="008B6E4A" w:rsidP="008B6E4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ціна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тендерної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>пропозиції</w:t>
            </w:r>
            <w:proofErr w:type="spellEnd"/>
            <w:r w:rsidRPr="00ED4FBA">
              <w:rPr>
                <w:rFonts w:ascii="Times New Roman" w:hAnsi="Times New Roman" w:cs="Times New Roman"/>
                <w:color w:val="000000"/>
              </w:rPr>
              <w:t>,</w:t>
            </w:r>
            <w:r w:rsidRPr="00ED4FBA">
              <w:rPr>
                <w:rFonts w:ascii="Times New Roman" w:hAnsi="Times New Roman" w:cs="Times New Roman"/>
                <w:color w:val="000000"/>
                <w:lang w:val="ru-RU"/>
              </w:rPr>
              <w:t xml:space="preserve"> грн.</w:t>
            </w:r>
            <w:r w:rsidRPr="00ED4FBA">
              <w:rPr>
                <w:rFonts w:ascii="Times New Roman" w:hAnsi="Times New Roman" w:cs="Times New Roman"/>
                <w:color w:val="000000"/>
              </w:rPr>
              <w:t xml:space="preserve"> з ПДВ</w:t>
            </w:r>
          </w:p>
          <w:p w:rsidR="008B6E4A" w:rsidRPr="00111CA3" w:rsidRDefault="00ED4FBA" w:rsidP="008B6E4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CA3">
              <w:rPr>
                <w:rFonts w:ascii="Times New Roman" w:hAnsi="Times New Roman" w:cs="Times New Roman"/>
                <w:shd w:val="clear" w:color="auto" w:fill="FFFFFF"/>
              </w:rPr>
              <w:t>Ц_прогн.рдн</w:t>
            </w:r>
            <w:proofErr w:type="spellEnd"/>
            <w:r w:rsidRPr="00111CA3">
              <w:rPr>
                <w:rFonts w:ascii="Times New Roman" w:hAnsi="Times New Roman" w:cs="Times New Roman"/>
                <w:shd w:val="clear" w:color="auto" w:fill="FFFFFF"/>
              </w:rPr>
              <w:t>.– прогнозована ціна РДН, яка для даної закупівлі становить – 4,79358 грн. за 1 кВт*</w:t>
            </w:r>
            <w:proofErr w:type="spellStart"/>
            <w:r w:rsidRPr="00111CA3">
              <w:rPr>
                <w:rFonts w:ascii="Times New Roman" w:hAnsi="Times New Roman" w:cs="Times New Roman"/>
                <w:shd w:val="clear" w:color="auto" w:fill="FFFFFF"/>
              </w:rPr>
              <w:t>год</w:t>
            </w:r>
            <w:proofErr w:type="spellEnd"/>
            <w:r w:rsidRPr="00111CA3">
              <w:rPr>
                <w:rFonts w:ascii="Times New Roman" w:hAnsi="Times New Roman" w:cs="Times New Roman"/>
                <w:shd w:val="clear" w:color="auto" w:fill="FFFFFF"/>
              </w:rPr>
              <w:t xml:space="preserve"> без ПДВ, (визначена як середньозважена ціна на РДН за листопад</w:t>
            </w:r>
            <w:r w:rsidRPr="00111C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111CA3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  <w:r w:rsidRPr="00111CA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111CA3">
              <w:rPr>
                <w:rFonts w:ascii="Times New Roman" w:hAnsi="Times New Roman" w:cs="Times New Roman"/>
                <w:shd w:val="clear" w:color="auto" w:fill="FFFFFF"/>
              </w:rPr>
              <w:t>року за даними ДП «Оператор ринку» розміщеними на його веб-сайті</w:t>
            </w:r>
            <w:hyperlink r:id="rId7" w:tgtFrame="_blank" w:history="1"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 www</w:t>
              </w:r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oree</w:t>
              </w:r>
              <w:proofErr w:type="spellEnd"/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com</w:t>
              </w:r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ua</w:t>
              </w:r>
              <w:proofErr w:type="spellEnd"/>
              <w:r w:rsidRPr="00111CA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 </w:t>
              </w:r>
            </w:hyperlink>
            <w:r w:rsidRPr="00111CA3">
              <w:rPr>
                <w:rFonts w:ascii="Times New Roman" w:hAnsi="Times New Roman" w:cs="Times New Roman"/>
                <w:shd w:val="clear" w:color="auto" w:fill="FFFFFF"/>
              </w:rPr>
              <w:t>з врахуванням покриття вартості купівлі електричної енергії на інших сегментах ринку електричної енергії (10 % від середньозваженої ціни на РДН). </w:t>
            </w:r>
          </w:p>
          <w:p w:rsidR="002315BD" w:rsidRPr="00ED4FBA" w:rsidRDefault="002315BD" w:rsidP="00D30E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265E" w:rsidRPr="00C8080A" w:rsidTr="008B6E4A">
        <w:trPr>
          <w:trHeight w:val="365"/>
        </w:trPr>
        <w:tc>
          <w:tcPr>
            <w:tcW w:w="2660" w:type="dxa"/>
          </w:tcPr>
          <w:p w:rsidR="007C258E" w:rsidRPr="00B8679E" w:rsidRDefault="005A5463" w:rsidP="007C258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265E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258E" w:rsidRPr="003E32FD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r w:rsidR="007C258E" w:rsidRPr="007C258E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Додаток 1</w:t>
            </w:r>
            <w:r w:rsidR="007C258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7C258E" w:rsidRPr="00B8679E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до тендерної документації: Документи, які надаються учасником/переможцем юридичною/фізичною особою для підтвердження кваліфікаційним критеріям, визначеним статтями 16 Закону та </w:t>
            </w:r>
            <w:r w:rsidR="007C258E" w:rsidRPr="00B8679E">
              <w:rPr>
                <w:rFonts w:ascii="Times New Roman" w:hAnsi="Times New Roman"/>
                <w:i/>
                <w:sz w:val="24"/>
                <w:szCs w:val="24"/>
              </w:rPr>
              <w:t>пунктом 4</w:t>
            </w:r>
            <w:r w:rsidR="007C258E" w:rsidRPr="00B867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</w:t>
            </w:r>
            <w:r w:rsidR="007C258E" w:rsidRPr="00B8679E">
              <w:rPr>
                <w:rFonts w:ascii="Times New Roman" w:hAnsi="Times New Roman"/>
                <w:i/>
                <w:sz w:val="24"/>
                <w:szCs w:val="24"/>
              </w:rPr>
              <w:t xml:space="preserve"> Особливостей </w:t>
            </w:r>
            <w:r w:rsidR="007C258E" w:rsidRPr="00B8679E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та інша інформація, встановлена відповідно до законодавства.</w:t>
            </w:r>
          </w:p>
          <w:p w:rsidR="00B8679E" w:rsidRPr="005711B2" w:rsidRDefault="00B8679E" w:rsidP="00B8679E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B86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Інша інформація встановлена відповідно до </w:t>
            </w:r>
            <w:r w:rsidRPr="00B86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законодавства (для УЧАСНИКІВ </w:t>
            </w:r>
            <w:r w:rsidRPr="00B8679E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  <w:r w:rsidRPr="00B86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юридичних осіб, фізичних осіб та фізичних осіб</w:t>
            </w:r>
            <w:r w:rsidRPr="00B8679E">
              <w:rPr>
                <w:rFonts w:ascii="Times New Roman" w:hAnsi="Times New Roman"/>
                <w:b/>
                <w:sz w:val="20"/>
                <w:szCs w:val="20"/>
              </w:rPr>
              <w:t xml:space="preserve"> — </w:t>
            </w:r>
            <w:r w:rsidR="00ED02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підприємців) </w:t>
            </w:r>
            <w:r w:rsidR="00ED023C" w:rsidRPr="005711B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(п.8)</w:t>
            </w:r>
          </w:p>
          <w:p w:rsidR="00B8679E" w:rsidRDefault="00B8679E" w:rsidP="007C258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BB265E" w:rsidRPr="00C8080A" w:rsidRDefault="00BB265E" w:rsidP="00EA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65E" w:rsidRPr="00F148F9" w:rsidRDefault="00F148F9" w:rsidP="00F148F9">
            <w:pPr>
              <w:rPr>
                <w:rFonts w:ascii="Times New Roman" w:hAnsi="Times New Roman" w:cs="Times New Roman"/>
              </w:rPr>
            </w:pPr>
            <w:r w:rsidRPr="00F148F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</w:t>
            </w:r>
            <w:r w:rsidRPr="00F148F9">
              <w:rPr>
                <w:rFonts w:ascii="Times New Roman" w:hAnsi="Times New Roman"/>
                <w:b/>
                <w:color w:val="000000"/>
                <w:lang w:eastAsia="ru-RU"/>
              </w:rPr>
              <w:t>ISO 27001:2013 «Інформаційні технології. Методи захисту. Системи управління інформаційною безпекою. Вимоги».</w:t>
            </w:r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Зазначений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документ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має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бути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виданий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ім‘я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учасника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закупівлі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органом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сертифікації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відповідати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предмету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закупівлі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та бути </w:t>
            </w:r>
            <w:proofErr w:type="spellStart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>чинним</w:t>
            </w:r>
            <w:proofErr w:type="spellEnd"/>
            <w:r w:rsidRPr="00F148F9">
              <w:rPr>
                <w:rFonts w:ascii="Times New Roman" w:hAnsi="Times New Roman"/>
                <w:color w:val="000000"/>
                <w:lang w:val="ru-RU" w:eastAsia="ru-RU"/>
              </w:rPr>
              <w:t xml:space="preserve"> на</w:t>
            </w:r>
            <w:r w:rsidRPr="00F148F9">
              <w:rPr>
                <w:rFonts w:ascii="Times New Roman" w:hAnsi="Times New Roman"/>
                <w:color w:val="000000"/>
                <w:lang w:eastAsia="ru-RU"/>
              </w:rPr>
              <w:t xml:space="preserve"> момент подачі тендерної пропозиції. Якщо дата видачі сертифікату більша ніж 12 місяців </w:t>
            </w:r>
            <w:proofErr w:type="gramStart"/>
            <w:r w:rsidRPr="00F148F9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F148F9">
              <w:rPr>
                <w:rFonts w:ascii="Times New Roman" w:hAnsi="Times New Roman"/>
                <w:color w:val="000000"/>
                <w:lang w:eastAsia="ru-RU"/>
              </w:rPr>
              <w:t xml:space="preserve">ід дати подання тендерної пропозиції, додатково надається </w:t>
            </w:r>
            <w:r w:rsidRPr="00F148F9">
              <w:rPr>
                <w:rFonts w:ascii="Times New Roman" w:hAnsi="Times New Roman"/>
                <w:color w:val="000000"/>
                <w:lang w:eastAsia="ru-RU"/>
              </w:rPr>
              <w:lastRenderedPageBreak/>
              <w:t>звіт за результатами наглядового аудиту, який виданий органом, що здійснював аудит і сертифікацію.</w:t>
            </w:r>
          </w:p>
        </w:tc>
        <w:tc>
          <w:tcPr>
            <w:tcW w:w="3655" w:type="dxa"/>
          </w:tcPr>
          <w:p w:rsidR="00BB265E" w:rsidRPr="003B3C61" w:rsidRDefault="00BB265E" w:rsidP="00D30E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2C8B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FF3371" w:rsidRPr="003D69F5" w:rsidRDefault="00FF3371" w:rsidP="00A62C8B">
      <w:pPr>
        <w:rPr>
          <w:rFonts w:ascii="Times New Roman" w:hAnsi="Times New Roman" w:cs="Times New Roman"/>
          <w:sz w:val="24"/>
          <w:szCs w:val="24"/>
        </w:rPr>
      </w:pPr>
    </w:p>
    <w:p w:rsidR="000909FA" w:rsidRPr="001C628B" w:rsidRDefault="00A62C8B" w:rsidP="000909FA">
      <w:pPr>
        <w:rPr>
          <w:rFonts w:ascii="Times New Roman" w:hAnsi="Times New Roman" w:cs="Times New Roman"/>
          <w:i/>
          <w:sz w:val="24"/>
          <w:szCs w:val="24"/>
        </w:rPr>
      </w:pPr>
      <w:r w:rsidRPr="001C628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E07FE" w:rsidRPr="001C62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9FA" w:rsidRPr="001C628B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="00FF3371">
        <w:rPr>
          <w:rFonts w:ascii="Times New Roman" w:hAnsi="Times New Roman" w:cs="Times New Roman"/>
          <w:i/>
          <w:sz w:val="24"/>
          <w:szCs w:val="24"/>
        </w:rPr>
        <w:t xml:space="preserve">    (</w:t>
      </w:r>
      <w:bookmarkStart w:id="1" w:name="_GoBack"/>
      <w:bookmarkEnd w:id="1"/>
      <w:r w:rsidRPr="001C628B">
        <w:rPr>
          <w:rFonts w:ascii="Times New Roman" w:hAnsi="Times New Roman" w:cs="Times New Roman"/>
          <w:i/>
          <w:sz w:val="24"/>
          <w:szCs w:val="24"/>
        </w:rPr>
        <w:t>Маріанна Іванишин</w:t>
      </w:r>
      <w:r w:rsidR="00FF3371">
        <w:rPr>
          <w:rFonts w:ascii="Times New Roman" w:hAnsi="Times New Roman" w:cs="Times New Roman"/>
          <w:i/>
          <w:sz w:val="24"/>
          <w:szCs w:val="24"/>
        </w:rPr>
        <w:t>)</w:t>
      </w:r>
    </w:p>
    <w:p w:rsidR="000909FA" w:rsidRPr="003D69F5" w:rsidRDefault="00ED4AD4" w:rsidP="00ED4AD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D69F5">
        <w:rPr>
          <w:rFonts w:ascii="Times New Roman" w:hAnsi="Times New Roman" w:cs="Times New Roman"/>
          <w:sz w:val="24"/>
          <w:szCs w:val="24"/>
        </w:rPr>
        <w:tab/>
      </w:r>
    </w:p>
    <w:sectPr w:rsidR="000909FA" w:rsidRPr="003D6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B84E37"/>
    <w:multiLevelType w:val="hybridMultilevel"/>
    <w:tmpl w:val="43020DBE"/>
    <w:lvl w:ilvl="0" w:tplc="92A2EB2A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016364"/>
    <w:multiLevelType w:val="hybridMultilevel"/>
    <w:tmpl w:val="483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C"/>
    <w:rsid w:val="00005447"/>
    <w:rsid w:val="00075B23"/>
    <w:rsid w:val="00084A51"/>
    <w:rsid w:val="000909FA"/>
    <w:rsid w:val="000C7517"/>
    <w:rsid w:val="000E6829"/>
    <w:rsid w:val="00100B52"/>
    <w:rsid w:val="00100DA9"/>
    <w:rsid w:val="00111CA3"/>
    <w:rsid w:val="0011335C"/>
    <w:rsid w:val="001571DE"/>
    <w:rsid w:val="001A496D"/>
    <w:rsid w:val="001C628B"/>
    <w:rsid w:val="001E3A1A"/>
    <w:rsid w:val="00226C20"/>
    <w:rsid w:val="002315BD"/>
    <w:rsid w:val="00247358"/>
    <w:rsid w:val="002643CC"/>
    <w:rsid w:val="00363107"/>
    <w:rsid w:val="00384F4F"/>
    <w:rsid w:val="003B3C61"/>
    <w:rsid w:val="003C2BC5"/>
    <w:rsid w:val="003D254C"/>
    <w:rsid w:val="003D69F5"/>
    <w:rsid w:val="003E0489"/>
    <w:rsid w:val="0041208A"/>
    <w:rsid w:val="00505A88"/>
    <w:rsid w:val="005711B2"/>
    <w:rsid w:val="005A5463"/>
    <w:rsid w:val="005D260E"/>
    <w:rsid w:val="00641354"/>
    <w:rsid w:val="00641854"/>
    <w:rsid w:val="006B3607"/>
    <w:rsid w:val="006D2E4C"/>
    <w:rsid w:val="006D44C5"/>
    <w:rsid w:val="006D736A"/>
    <w:rsid w:val="00720838"/>
    <w:rsid w:val="007243BF"/>
    <w:rsid w:val="00742E79"/>
    <w:rsid w:val="00744082"/>
    <w:rsid w:val="00756C8C"/>
    <w:rsid w:val="007960A6"/>
    <w:rsid w:val="007C258E"/>
    <w:rsid w:val="00817F09"/>
    <w:rsid w:val="008720CF"/>
    <w:rsid w:val="008A0314"/>
    <w:rsid w:val="008B6E4A"/>
    <w:rsid w:val="009A1D04"/>
    <w:rsid w:val="009A6148"/>
    <w:rsid w:val="009B3997"/>
    <w:rsid w:val="009F5038"/>
    <w:rsid w:val="00A3668A"/>
    <w:rsid w:val="00A62C8B"/>
    <w:rsid w:val="00A716A7"/>
    <w:rsid w:val="00A7710C"/>
    <w:rsid w:val="00A833F2"/>
    <w:rsid w:val="00AE5FC2"/>
    <w:rsid w:val="00B47B15"/>
    <w:rsid w:val="00B8679E"/>
    <w:rsid w:val="00BB23B9"/>
    <w:rsid w:val="00BB265E"/>
    <w:rsid w:val="00C16E0D"/>
    <w:rsid w:val="00C54B72"/>
    <w:rsid w:val="00C8080A"/>
    <w:rsid w:val="00C876C0"/>
    <w:rsid w:val="00C943ED"/>
    <w:rsid w:val="00CA52A5"/>
    <w:rsid w:val="00CC260C"/>
    <w:rsid w:val="00CE5987"/>
    <w:rsid w:val="00D210CC"/>
    <w:rsid w:val="00D30E08"/>
    <w:rsid w:val="00D93A11"/>
    <w:rsid w:val="00DB5110"/>
    <w:rsid w:val="00DD2AF7"/>
    <w:rsid w:val="00DE302D"/>
    <w:rsid w:val="00E65C0E"/>
    <w:rsid w:val="00E76D39"/>
    <w:rsid w:val="00EA17D2"/>
    <w:rsid w:val="00EA5E63"/>
    <w:rsid w:val="00ED023C"/>
    <w:rsid w:val="00ED4AD4"/>
    <w:rsid w:val="00ED4FBA"/>
    <w:rsid w:val="00EE07FE"/>
    <w:rsid w:val="00F125BC"/>
    <w:rsid w:val="00F148F9"/>
    <w:rsid w:val="00F97A0B"/>
    <w:rsid w:val="00FC2C09"/>
    <w:rsid w:val="00FF337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100</cp:revision>
  <cp:lastPrinted>2023-11-14T13:48:00Z</cp:lastPrinted>
  <dcterms:created xsi:type="dcterms:W3CDTF">2023-11-14T12:55:00Z</dcterms:created>
  <dcterms:modified xsi:type="dcterms:W3CDTF">2023-12-08T12:51:00Z</dcterms:modified>
</cp:coreProperties>
</file>