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0B4D73">
      <w:pPr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r w:rsidRPr="00C510E2">
        <w:rPr>
          <w:sz w:val="24"/>
          <w:szCs w:val="24"/>
          <w:lang w:val="uk-UA"/>
        </w:rPr>
        <w:t>Додаток №</w:t>
      </w:r>
      <w:r w:rsidR="00E67C6F">
        <w:rPr>
          <w:sz w:val="24"/>
          <w:szCs w:val="24"/>
          <w:lang w:val="uk-UA"/>
        </w:rPr>
        <w:t>2</w:t>
      </w:r>
    </w:p>
    <w:p w:rsidR="00D218EE" w:rsidRPr="00C510E2" w:rsidRDefault="00D218EE" w:rsidP="00D218EE">
      <w:pPr>
        <w:pStyle w:val="a8"/>
        <w:jc w:val="right"/>
        <w:rPr>
          <w:sz w:val="24"/>
          <w:szCs w:val="24"/>
          <w:lang w:val="uk-UA"/>
        </w:rPr>
      </w:pPr>
      <w:r w:rsidRPr="00C510E2">
        <w:rPr>
          <w:sz w:val="24"/>
          <w:szCs w:val="24"/>
          <w:lang w:val="uk-UA"/>
        </w:rPr>
        <w:t xml:space="preserve">до оголошення </w:t>
      </w:r>
    </w:p>
    <w:p w:rsidR="00C510E2" w:rsidRPr="00C510E2" w:rsidRDefault="00D218EE" w:rsidP="00C510E2">
      <w:pPr>
        <w:suppressAutoHyphens/>
        <w:spacing w:after="0"/>
        <w:ind w:left="436" w:right="-2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C510E2" w:rsidRPr="00C510E2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ДК 021:2015 </w:t>
      </w:r>
      <w:r w:rsidR="00C510E2"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– 33690000-3 - Лікарські засоби різні </w:t>
      </w:r>
      <w:r w:rsidR="00C510E2"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</w:p>
    <w:p w:rsidR="00C510E2" w:rsidRDefault="00C510E2" w:rsidP="00C510E2">
      <w:pPr>
        <w:suppressAutoHyphens/>
        <w:spacing w:after="0"/>
        <w:ind w:left="436" w:right="-2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НК 024:2023 «Класифікатор медичних виробів» - 47869 - Множинні </w:t>
      </w:r>
      <w:proofErr w:type="spellStart"/>
      <w:r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>аналіти</w:t>
      </w:r>
      <w:proofErr w:type="spellEnd"/>
      <w:r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клінічної хімії </w:t>
      </w:r>
      <w:r w:rsidRPr="00E7454D">
        <w:rPr>
          <w:rFonts w:ascii="Times New Roman" w:eastAsia="Times New Roman" w:hAnsi="Times New Roman"/>
          <w:sz w:val="28"/>
          <w:szCs w:val="28"/>
          <w:lang w:eastAsia="zh-CN"/>
        </w:rPr>
        <w:t>IVD</w:t>
      </w:r>
      <w:r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(діагностика </w:t>
      </w:r>
      <w:proofErr w:type="spellStart"/>
      <w:r w:rsidRPr="00E7454D">
        <w:rPr>
          <w:rFonts w:ascii="Times New Roman" w:eastAsia="Times New Roman" w:hAnsi="Times New Roman"/>
          <w:sz w:val="28"/>
          <w:szCs w:val="28"/>
          <w:lang w:eastAsia="zh-CN"/>
        </w:rPr>
        <w:t>in</w:t>
      </w:r>
      <w:proofErr w:type="spellEnd"/>
      <w:r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7454D">
        <w:rPr>
          <w:rFonts w:ascii="Times New Roman" w:eastAsia="Times New Roman" w:hAnsi="Times New Roman"/>
          <w:sz w:val="28"/>
          <w:szCs w:val="28"/>
          <w:lang w:eastAsia="zh-CN"/>
        </w:rPr>
        <w:t>vitro</w:t>
      </w:r>
      <w:proofErr w:type="spellEnd"/>
      <w:r w:rsidRPr="00C510E2">
        <w:rPr>
          <w:rFonts w:ascii="Times New Roman" w:eastAsia="Times New Roman" w:hAnsi="Times New Roman"/>
          <w:sz w:val="28"/>
          <w:szCs w:val="28"/>
          <w:lang w:val="uk-UA" w:eastAsia="zh-CN"/>
        </w:rPr>
        <w:t>), контрольний матеріал</w:t>
      </w:r>
    </w:p>
    <w:p w:rsidR="00C510E2" w:rsidRDefault="00C510E2" w:rsidP="00C510E2">
      <w:pPr>
        <w:suppressAutoHyphens/>
        <w:spacing w:after="0"/>
        <w:ind w:left="436" w:right="-2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C510E2" w:rsidRPr="007B5098" w:rsidRDefault="00C510E2" w:rsidP="00C510E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10E2">
        <w:rPr>
          <w:rFonts w:ascii="Times New Roman" w:eastAsia="Times New Roman" w:hAnsi="Times New Roman"/>
          <w:b/>
          <w:bCs/>
          <w:sz w:val="28"/>
          <w:szCs w:val="28"/>
          <w:lang w:val="uk-UA" w:eastAsia="de-DE"/>
        </w:rPr>
        <w:t>Медико-технічні вимоги  :</w:t>
      </w:r>
      <w:r w:rsidRPr="00C510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B5098">
        <w:rPr>
          <w:rFonts w:ascii="Times New Roman" w:hAnsi="Times New Roman"/>
          <w:b/>
          <w:sz w:val="24"/>
          <w:szCs w:val="24"/>
          <w:lang w:val="uk-UA"/>
        </w:rPr>
        <w:t>Медико-технічні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4"/>
        <w:gridCol w:w="4781"/>
      </w:tblGrid>
      <w:tr w:rsidR="00C510E2" w:rsidRPr="004206DA" w:rsidTr="00F36A6C">
        <w:tc>
          <w:tcPr>
            <w:tcW w:w="4564" w:type="dxa"/>
          </w:tcPr>
          <w:p w:rsidR="00C510E2" w:rsidRPr="00A462D8" w:rsidRDefault="00C510E2" w:rsidP="00F36A6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D3FBE">
              <w:rPr>
                <w:rFonts w:ascii="Times New Roman" w:hAnsi="Times New Roman"/>
                <w:color w:val="000000"/>
              </w:rPr>
              <w:t>Контрольний</w:t>
            </w:r>
            <w:proofErr w:type="spellEnd"/>
            <w:r w:rsidRPr="001D3F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3FBE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1D3FBE">
              <w:rPr>
                <w:rFonts w:ascii="Times New Roman" w:hAnsi="Times New Roman"/>
                <w:color w:val="000000"/>
              </w:rPr>
              <w:t xml:space="preserve"> </w:t>
            </w:r>
            <w:r w:rsidRPr="004206DA">
              <w:rPr>
                <w:rFonts w:ascii="Times New Roman" w:hAnsi="Times New Roman"/>
                <w:color w:val="000000"/>
              </w:rPr>
              <w:t>CBC-</w:t>
            </w:r>
            <w:r>
              <w:rPr>
                <w:rFonts w:ascii="Times New Roman" w:hAnsi="Times New Roman"/>
                <w:color w:val="000000"/>
                <w:lang w:val="en-US"/>
              </w:rPr>
              <w:t>DH</w:t>
            </w:r>
          </w:p>
        </w:tc>
        <w:tc>
          <w:tcPr>
            <w:tcW w:w="4781" w:type="dxa"/>
          </w:tcPr>
          <w:p w:rsidR="00C510E2" w:rsidRPr="00A462D8" w:rsidRDefault="00C510E2" w:rsidP="00F36A6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Є</w:t>
            </w:r>
            <w:r w:rsidRPr="00A462D8">
              <w:rPr>
                <w:rFonts w:ascii="Times New Roman" w:hAnsi="Times New Roman"/>
                <w:lang w:val="uk-UA"/>
              </w:rPr>
              <w:t xml:space="preserve"> аналізованим контролем цільної крові,</w:t>
            </w:r>
          </w:p>
          <w:p w:rsidR="00C510E2" w:rsidRPr="00A462D8" w:rsidRDefault="00C510E2" w:rsidP="00F36A6C">
            <w:pPr>
              <w:rPr>
                <w:rFonts w:ascii="Times New Roman" w:hAnsi="Times New Roman"/>
                <w:lang w:val="uk-UA"/>
              </w:rPr>
            </w:pPr>
            <w:r w:rsidRPr="00A462D8">
              <w:rPr>
                <w:rFonts w:ascii="Times New Roman" w:hAnsi="Times New Roman"/>
                <w:lang w:val="uk-UA"/>
              </w:rPr>
              <w:t>призначеним для моніторингу значень на лічильниках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C510E2" w:rsidRDefault="00C510E2" w:rsidP="00F36A6C">
            <w:pPr>
              <w:rPr>
                <w:rFonts w:ascii="Times New Roman" w:hAnsi="Times New Roman"/>
                <w:lang w:val="uk-UA"/>
              </w:rPr>
            </w:pPr>
            <w:r w:rsidRPr="00A462D8">
              <w:rPr>
                <w:rFonts w:ascii="Times New Roman" w:hAnsi="Times New Roman"/>
                <w:lang w:val="uk-UA"/>
              </w:rPr>
              <w:t>клітин з множинними параметрами гематології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C510E2" w:rsidRDefault="00C510E2" w:rsidP="00F36A6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A462D8">
              <w:rPr>
                <w:rFonts w:ascii="Times New Roman" w:hAnsi="Times New Roman"/>
                <w:lang w:val="uk-UA"/>
              </w:rPr>
              <w:t>кладається з еритроцитів людини, лейкоцитів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462D8">
              <w:rPr>
                <w:rFonts w:ascii="Times New Roman" w:hAnsi="Times New Roman"/>
                <w:lang w:val="uk-UA"/>
              </w:rPr>
              <w:t xml:space="preserve">тромбоцитів ссавців, суспендованих у </w:t>
            </w:r>
            <w:proofErr w:type="spellStart"/>
            <w:r w:rsidRPr="00A462D8">
              <w:rPr>
                <w:rFonts w:ascii="Times New Roman" w:hAnsi="Times New Roman"/>
                <w:lang w:val="uk-UA"/>
              </w:rPr>
              <w:t>плазмоподібній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462D8">
              <w:rPr>
                <w:rFonts w:ascii="Times New Roman" w:hAnsi="Times New Roman"/>
                <w:lang w:val="uk-UA"/>
              </w:rPr>
              <w:t>рідині із консервантами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C510E2" w:rsidRDefault="00C510E2" w:rsidP="00F36A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Тільки для діагностики </w:t>
            </w:r>
            <w:proofErr w:type="spellStart"/>
            <w:r w:rsidRPr="004206D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420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06DA">
              <w:rPr>
                <w:rFonts w:ascii="Times New Roman" w:hAnsi="Times New Roman"/>
                <w:sz w:val="24"/>
                <w:szCs w:val="24"/>
                <w:lang w:val="uk-UA"/>
              </w:rPr>
              <w:t>vitro</w:t>
            </w:r>
            <w:proofErr w:type="spellEnd"/>
          </w:p>
          <w:p w:rsidR="00C510E2" w:rsidRDefault="00C510E2" w:rsidP="00F36A6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Зберігання</w:t>
            </w:r>
            <w:r w:rsidRPr="004206D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при 2 - 8 ° C (35 - 46 ° F).</w:t>
            </w:r>
          </w:p>
          <w:p w:rsidR="00C510E2" w:rsidRDefault="00C510E2" w:rsidP="00F36A6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4206DA">
              <w:rPr>
                <w:rFonts w:ascii="Times New Roman" w:hAnsi="Times New Roman"/>
                <w:lang w:val="uk-UA"/>
              </w:rPr>
              <w:t>табільні протягом не менше 14 днів</w:t>
            </w:r>
          </w:p>
          <w:p w:rsidR="00C510E2" w:rsidRDefault="00C510E2" w:rsidP="00F36A6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Об’єм 3.0 мл</w:t>
            </w:r>
          </w:p>
          <w:p w:rsidR="00C510E2" w:rsidRPr="00A462D8" w:rsidRDefault="00C510E2" w:rsidP="00F36A6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Нормальний рівень</w:t>
            </w:r>
          </w:p>
        </w:tc>
      </w:tr>
    </w:tbl>
    <w:p w:rsidR="00C510E2" w:rsidRPr="00C510E2" w:rsidRDefault="00C510E2" w:rsidP="00C51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de-DE"/>
        </w:rPr>
      </w:pPr>
    </w:p>
    <w:p w:rsidR="00C510E2" w:rsidRPr="00C510E2" w:rsidRDefault="00C510E2" w:rsidP="00C510E2">
      <w:pPr>
        <w:tabs>
          <w:tab w:val="left" w:pos="672"/>
          <w:tab w:val="center" w:pos="4571"/>
        </w:tabs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val="uk-UA" w:eastAsia="de-DE"/>
        </w:rPr>
      </w:pPr>
    </w:p>
    <w:p w:rsidR="00C510E2" w:rsidRPr="00C510E2" w:rsidRDefault="00C510E2" w:rsidP="00C510E2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val="uk-UA"/>
        </w:rPr>
      </w:pPr>
      <w:r w:rsidRPr="00C510E2">
        <w:rPr>
          <w:rFonts w:ascii="Times New Roman" w:eastAsia="Times New Roman" w:hAnsi="Times New Roman"/>
          <w:b/>
          <w:i/>
          <w:sz w:val="20"/>
          <w:szCs w:val="20"/>
          <w:lang w:val="uk-UA"/>
        </w:rPr>
        <w:t xml:space="preserve">Примітка: </w:t>
      </w:r>
    </w:p>
    <w:p w:rsidR="00C510E2" w:rsidRPr="00C510E2" w:rsidRDefault="00C510E2" w:rsidP="00C510E2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C510E2"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В місцях де технічна специфікація містить посилання на конкретну марку чи виробника або на конкретний процес, що характеризує продукт чи послугу певного суб’єкта господарювання, чи на торгові марки, патенти, </w:t>
      </w:r>
      <w:proofErr w:type="spellStart"/>
      <w:r w:rsidRPr="00C510E2"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  <w:lang w:val="uk-UA"/>
        </w:rPr>
        <w:t>типии</w:t>
      </w:r>
      <w:proofErr w:type="spellEnd"/>
      <w:r w:rsidRPr="00C510E2"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  <w:lang w:val="uk-UA"/>
        </w:rPr>
        <w:t xml:space="preserve"> або конкретне місце походження чи спосіб виробництва, вважати вираз  "або еквівалент".</w:t>
      </w:r>
      <w:r w:rsidRPr="00C510E2">
        <w:rPr>
          <w:rFonts w:ascii="Times New Roman" w:eastAsia="Times New Roman" w:hAnsi="Times New Roman"/>
          <w:bCs/>
          <w:sz w:val="28"/>
          <w:lang w:val="uk-UA" w:eastAsia="ar-SA"/>
        </w:rPr>
        <w:t xml:space="preserve"> </w:t>
      </w:r>
      <w:r w:rsidRPr="00C510E2">
        <w:rPr>
          <w:rFonts w:ascii="Times New Roman" w:eastAsia="Times New Roman" w:hAnsi="Times New Roman"/>
          <w:bCs/>
          <w:i/>
          <w:sz w:val="24"/>
          <w:szCs w:val="24"/>
          <w:lang w:val="uk-UA" w:eastAsia="ar-SA"/>
        </w:rPr>
        <w:t xml:space="preserve">Еквівалентом предмета закупівлі в розумінні даної тендерної документації є товар, якість, діюча речовина, концентрація, </w:t>
      </w:r>
      <w:proofErr w:type="spellStart"/>
      <w:r w:rsidRPr="00C510E2">
        <w:rPr>
          <w:rFonts w:ascii="Times New Roman" w:eastAsia="Times New Roman" w:hAnsi="Times New Roman"/>
          <w:bCs/>
          <w:i/>
          <w:sz w:val="24"/>
          <w:szCs w:val="24"/>
          <w:lang w:val="uk-UA" w:eastAsia="ar-SA"/>
        </w:rPr>
        <w:t>біоеквівалентність</w:t>
      </w:r>
      <w:proofErr w:type="spellEnd"/>
      <w:r w:rsidRPr="00C510E2">
        <w:rPr>
          <w:rFonts w:ascii="Times New Roman" w:eastAsia="Times New Roman" w:hAnsi="Times New Roman"/>
          <w:bCs/>
          <w:i/>
          <w:sz w:val="24"/>
          <w:szCs w:val="24"/>
          <w:lang w:val="uk-UA" w:eastAsia="ar-SA"/>
        </w:rPr>
        <w:t xml:space="preserve"> та інші стандартні характеристики якого абсолютно співпадають з характеристиками товару, що є предметом закупівлі.  На підтвердження еквівалентності надати висновки уповноважених на це організацій. Стандартні характеристики еквіваленту товару, на який відбувається заміна, повинні відповідати вимогам діючих стандартів щодо даних товарів.</w:t>
      </w:r>
    </w:p>
    <w:p w:rsidR="00C510E2" w:rsidRPr="00C510E2" w:rsidRDefault="00C510E2" w:rsidP="00C510E2">
      <w:pPr>
        <w:spacing w:after="20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C510E2" w:rsidRPr="005F48D3" w:rsidRDefault="00C510E2" w:rsidP="00C510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510E2">
        <w:rPr>
          <w:rFonts w:ascii="Times New Roman" w:eastAsia="Times New Roman" w:hAnsi="Times New Roman"/>
          <w:sz w:val="24"/>
          <w:szCs w:val="24"/>
          <w:lang w:val="uk-UA"/>
        </w:rPr>
        <w:t xml:space="preserve">Товар, запропонований Учасником, повинен бути введений в обіг відповідно до </w:t>
      </w:r>
      <w:bookmarkStart w:id="0" w:name="_GoBack"/>
      <w:bookmarkEnd w:id="0"/>
      <w:r w:rsidRPr="00C510E2">
        <w:rPr>
          <w:rFonts w:ascii="Times New Roman" w:eastAsia="Times New Roman" w:hAnsi="Times New Roman"/>
          <w:sz w:val="24"/>
          <w:szCs w:val="24"/>
          <w:lang w:val="uk-UA"/>
        </w:rPr>
        <w:t xml:space="preserve">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(надати копії </w:t>
      </w:r>
      <w:proofErr w:type="spellStart"/>
      <w:r w:rsidRPr="00C510E2">
        <w:rPr>
          <w:rFonts w:ascii="Times New Roman" w:eastAsia="Times New Roman" w:hAnsi="Times New Roman"/>
          <w:sz w:val="24"/>
          <w:szCs w:val="24"/>
          <w:lang w:val="uk-UA"/>
        </w:rPr>
        <w:t>ві</w:t>
      </w:r>
      <w:proofErr w:type="spellEnd"/>
      <w:r w:rsidRPr="00C510E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C510E2">
        <w:rPr>
          <w:rFonts w:ascii="Times New Roman" w:eastAsia="Times New Roman" w:hAnsi="Times New Roman"/>
          <w:sz w:val="24"/>
          <w:szCs w:val="24"/>
          <w:lang w:val="uk-UA"/>
        </w:rPr>
        <w:t>дповідних</w:t>
      </w:r>
      <w:proofErr w:type="spellEnd"/>
      <w:r w:rsidRPr="00C510E2">
        <w:rPr>
          <w:rFonts w:ascii="Times New Roman" w:eastAsia="Times New Roman" w:hAnsi="Times New Roman"/>
          <w:sz w:val="24"/>
          <w:szCs w:val="24"/>
          <w:lang w:val="uk-UA"/>
        </w:rPr>
        <w:t xml:space="preserve"> документів у складі тендерної пропозиції та при поставці).</w:t>
      </w:r>
    </w:p>
    <w:p w:rsidR="00EC3030" w:rsidRPr="00C510E2" w:rsidRDefault="00EC3030" w:rsidP="00C510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 та зі строками придатності, учасник надає за всіма позиціями оригінал гарантійного листа виробника (представника, представництва, філії виробника, якщо їх відповідні повноваження поширюються на територію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яким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підтверджується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можливість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поставки предмету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цих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торгів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необхідній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кількості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в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терміни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визначені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цією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документацією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пропозицією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Учасника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гарантійний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лист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видається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виробником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складі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тендерної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пропозиції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надати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документи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підтверджують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повноваження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представника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представництва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філії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виробника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Гарантійний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лист повинен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включати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назву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Учасника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назву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предмету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номер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(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надати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скан-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оригіналу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гарантійного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листа у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складі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тендерної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пропозиції</w:t>
      </w:r>
      <w:proofErr w:type="spellEnd"/>
      <w:r w:rsidRPr="005F48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C510E2" w:rsidRPr="00C510E2" w:rsidRDefault="00C510E2" w:rsidP="00C510E2">
      <w:pPr>
        <w:suppressAutoHyphens/>
        <w:spacing w:before="280" w:after="0" w:line="240" w:lineRule="auto"/>
        <w:ind w:right="212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C510E2">
        <w:rPr>
          <w:rFonts w:ascii="Times New Roman" w:hAnsi="Times New Roman"/>
          <w:sz w:val="24"/>
          <w:szCs w:val="24"/>
          <w:lang w:val="x-none" w:eastAsia="zh-CN"/>
        </w:rPr>
        <w:t xml:space="preserve">3. Вимоги що до якості Товару повинні бути підтверджені Сертифікатом якості або інший подібний документ, що підтверджує відповідність товару вимогам, встановлених до нього загальнообов’язковими на території України нормами і правилами та повинен бути оформлений відповідно до вимог чинного законодавства України (надати копії відповідних документів у складі </w:t>
      </w:r>
      <w:proofErr w:type="spellStart"/>
      <w:r w:rsidRPr="00C510E2">
        <w:rPr>
          <w:rFonts w:ascii="Times New Roman" w:hAnsi="Times New Roman"/>
          <w:sz w:val="24"/>
          <w:szCs w:val="24"/>
          <w:lang w:val="x-none" w:eastAsia="zh-CN"/>
        </w:rPr>
        <w:t>тендерно</w:t>
      </w:r>
      <w:proofErr w:type="spellEnd"/>
      <w:r w:rsidRPr="00C510E2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510E2">
        <w:rPr>
          <w:rFonts w:ascii="Times New Roman" w:hAnsi="Times New Roman"/>
          <w:sz w:val="24"/>
          <w:szCs w:val="24"/>
          <w:lang w:val="x-none" w:eastAsia="zh-CN"/>
        </w:rPr>
        <w:t>їпропозиції</w:t>
      </w:r>
      <w:proofErr w:type="spellEnd"/>
      <w:r w:rsidRPr="00C510E2">
        <w:rPr>
          <w:rFonts w:ascii="Times New Roman" w:hAnsi="Times New Roman"/>
          <w:sz w:val="24"/>
          <w:szCs w:val="24"/>
          <w:lang w:val="x-none" w:eastAsia="zh-CN"/>
        </w:rPr>
        <w:t xml:space="preserve"> та при поставці).</w:t>
      </w:r>
    </w:p>
    <w:p w:rsidR="00C510E2" w:rsidRPr="00C510E2" w:rsidRDefault="00C510E2" w:rsidP="00C510E2">
      <w:pPr>
        <w:suppressAutoHyphens/>
        <w:spacing w:before="280" w:after="0" w:line="240" w:lineRule="auto"/>
        <w:ind w:right="212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C510E2">
        <w:rPr>
          <w:rFonts w:ascii="Times New Roman" w:hAnsi="Times New Roman"/>
          <w:sz w:val="24"/>
          <w:szCs w:val="24"/>
          <w:lang w:val="uk-UA" w:eastAsia="zh-CN"/>
        </w:rPr>
        <w:t>4</w:t>
      </w:r>
      <w:r w:rsidRPr="00C510E2">
        <w:rPr>
          <w:rFonts w:ascii="Times New Roman" w:hAnsi="Times New Roman"/>
          <w:sz w:val="24"/>
          <w:szCs w:val="24"/>
          <w:lang w:val="x-none" w:eastAsia="zh-CN"/>
        </w:rPr>
        <w:t>. Товар повинен передаватися Замовнику в упаковці підприємства виробника, яка не повинна бути деформованою або пошкодженою. Товар, отриманий розпакованим або у неналежній упаковці, має бути замінений Постачальником за власний</w:t>
      </w:r>
      <w:r w:rsidRPr="00C510E2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C510E2">
        <w:rPr>
          <w:rFonts w:ascii="Times New Roman" w:hAnsi="Times New Roman"/>
          <w:sz w:val="24"/>
          <w:szCs w:val="24"/>
          <w:lang w:val="x-none" w:eastAsia="zh-CN"/>
        </w:rPr>
        <w:t>рахунок</w:t>
      </w:r>
      <w:r w:rsidRPr="00C510E2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C510E2">
        <w:rPr>
          <w:rFonts w:ascii="Times New Roman" w:hAnsi="Times New Roman"/>
          <w:sz w:val="24"/>
          <w:szCs w:val="24"/>
          <w:lang w:val="x-none" w:eastAsia="zh-CN"/>
        </w:rPr>
        <w:t>в продовж 3 календарних днів з дати постачання.</w:t>
      </w:r>
    </w:p>
    <w:p w:rsidR="00C510E2" w:rsidRPr="00C510E2" w:rsidRDefault="00C510E2" w:rsidP="00C510E2">
      <w:pPr>
        <w:suppressAutoHyphens/>
        <w:spacing w:before="280" w:after="0" w:line="240" w:lineRule="auto"/>
        <w:ind w:right="212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C510E2">
        <w:rPr>
          <w:rFonts w:ascii="Times New Roman" w:hAnsi="Times New Roman"/>
          <w:sz w:val="24"/>
          <w:szCs w:val="24"/>
          <w:lang w:val="uk-UA" w:eastAsia="zh-CN"/>
        </w:rPr>
        <w:t>5</w:t>
      </w:r>
      <w:r w:rsidRPr="00C510E2">
        <w:rPr>
          <w:rFonts w:ascii="Times New Roman" w:hAnsi="Times New Roman"/>
          <w:sz w:val="24"/>
          <w:szCs w:val="24"/>
          <w:lang w:val="x-none" w:eastAsia="zh-CN"/>
        </w:rPr>
        <w:t>. Термін придатності медичного виробу на момент поставки повинен становити не менше 70 % від загального терміну придатності.</w:t>
      </w:r>
    </w:p>
    <w:p w:rsidR="00C510E2" w:rsidRPr="00C510E2" w:rsidRDefault="00C510E2" w:rsidP="00C510E2">
      <w:pPr>
        <w:suppressAutoHyphens/>
        <w:spacing w:after="0" w:line="240" w:lineRule="auto"/>
        <w:ind w:right="212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C510E2">
        <w:rPr>
          <w:rFonts w:ascii="Times New Roman" w:hAnsi="Times New Roman"/>
          <w:sz w:val="24"/>
          <w:szCs w:val="24"/>
          <w:lang w:val="uk-UA" w:eastAsia="zh-CN"/>
        </w:rPr>
        <w:t>6</w:t>
      </w:r>
      <w:r w:rsidRPr="00C510E2">
        <w:rPr>
          <w:rFonts w:ascii="Times New Roman" w:hAnsi="Times New Roman"/>
          <w:sz w:val="24"/>
          <w:szCs w:val="24"/>
          <w:lang w:val="x-none" w:eastAsia="zh-CN"/>
        </w:rPr>
        <w:t xml:space="preserve">. Доставка товарів здійснюється транспортом постачальника, </w:t>
      </w:r>
      <w:proofErr w:type="spellStart"/>
      <w:r w:rsidRPr="00C510E2">
        <w:rPr>
          <w:rFonts w:ascii="Times New Roman" w:hAnsi="Times New Roman"/>
          <w:sz w:val="24"/>
          <w:szCs w:val="24"/>
          <w:lang w:val="x-none" w:eastAsia="zh-CN"/>
        </w:rPr>
        <w:t>завантажувально</w:t>
      </w:r>
      <w:proofErr w:type="spellEnd"/>
      <w:r w:rsidRPr="00C510E2">
        <w:rPr>
          <w:rFonts w:ascii="Times New Roman" w:hAnsi="Times New Roman"/>
          <w:sz w:val="24"/>
          <w:szCs w:val="24"/>
          <w:lang w:val="x-none" w:eastAsia="zh-CN"/>
        </w:rPr>
        <w:t>-розвантажувальні роботи проводяться за рахунок постачальника товару.</w:t>
      </w:r>
    </w:p>
    <w:p w:rsidR="00C510E2" w:rsidRPr="00C510E2" w:rsidRDefault="00C510E2" w:rsidP="00C510E2">
      <w:pPr>
        <w:spacing w:after="20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</w:pPr>
      <w:r w:rsidRPr="00C510E2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7. Учасники повинні надати в складі тендерної пропозиції документи, які підтверджують повну відповідність пропозиції учасника технічним, якісним, кількісним та іншим вимогам до предмета закупівлі, встановлених Замовником.</w:t>
      </w:r>
    </w:p>
    <w:p w:rsidR="00C510E2" w:rsidRPr="00C510E2" w:rsidRDefault="00C510E2" w:rsidP="00C510E2">
      <w:pPr>
        <w:suppressAutoHyphens/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510E2" w:rsidRPr="00C510E2" w:rsidRDefault="00C510E2" w:rsidP="00C510E2">
      <w:pPr>
        <w:suppressAutoHyphens/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510E2" w:rsidRPr="00C510E2" w:rsidRDefault="00C510E2" w:rsidP="00C510E2">
      <w:pPr>
        <w:suppressAutoHyphens/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510E2" w:rsidRPr="00C510E2" w:rsidRDefault="00C510E2" w:rsidP="00C510E2">
      <w:pPr>
        <w:suppressAutoHyphens/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510E2" w:rsidRPr="00C510E2" w:rsidRDefault="00C510E2" w:rsidP="00C510E2">
      <w:pPr>
        <w:suppressAutoHyphens/>
        <w:spacing w:after="0"/>
        <w:ind w:left="436" w:right="-2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sectPr w:rsidR="00C510E2" w:rsidRPr="00C51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3A08"/>
    <w:multiLevelType w:val="hybridMultilevel"/>
    <w:tmpl w:val="87C29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4D73"/>
    <w:rsid w:val="000B70AA"/>
    <w:rsid w:val="000C2B97"/>
    <w:rsid w:val="001930B3"/>
    <w:rsid w:val="001F71C9"/>
    <w:rsid w:val="00223FC0"/>
    <w:rsid w:val="002A538D"/>
    <w:rsid w:val="0044241A"/>
    <w:rsid w:val="0049740C"/>
    <w:rsid w:val="005446EC"/>
    <w:rsid w:val="00587B8A"/>
    <w:rsid w:val="005C7ABC"/>
    <w:rsid w:val="005F48D3"/>
    <w:rsid w:val="006157E6"/>
    <w:rsid w:val="00717A17"/>
    <w:rsid w:val="007A361F"/>
    <w:rsid w:val="007A534B"/>
    <w:rsid w:val="007C48DF"/>
    <w:rsid w:val="00814D8A"/>
    <w:rsid w:val="00920C2B"/>
    <w:rsid w:val="00986B50"/>
    <w:rsid w:val="009C23B2"/>
    <w:rsid w:val="009D4554"/>
    <w:rsid w:val="00A04E7A"/>
    <w:rsid w:val="00A05F8E"/>
    <w:rsid w:val="00AB2697"/>
    <w:rsid w:val="00B94BBC"/>
    <w:rsid w:val="00C31A93"/>
    <w:rsid w:val="00C32FF9"/>
    <w:rsid w:val="00C510E2"/>
    <w:rsid w:val="00C6439F"/>
    <w:rsid w:val="00D16906"/>
    <w:rsid w:val="00D218EE"/>
    <w:rsid w:val="00D536A4"/>
    <w:rsid w:val="00DC7062"/>
    <w:rsid w:val="00E404CB"/>
    <w:rsid w:val="00E67C6F"/>
    <w:rsid w:val="00E72F2F"/>
    <w:rsid w:val="00EA1F72"/>
    <w:rsid w:val="00EC3030"/>
    <w:rsid w:val="00F15675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42C8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3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F47E-6EB6-4E11-A1A5-7733D029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45</cp:revision>
  <dcterms:created xsi:type="dcterms:W3CDTF">2022-11-18T08:46:00Z</dcterms:created>
  <dcterms:modified xsi:type="dcterms:W3CDTF">2024-04-04T11:42:00Z</dcterms:modified>
</cp:coreProperties>
</file>