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C7" w:rsidRPr="007F2B0D" w:rsidRDefault="00EE58B1" w:rsidP="00A72FCB">
      <w:pPr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Pr="007F2B0D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9879C7" w:rsidRPr="007F2B0D" w:rsidRDefault="009879C7" w:rsidP="009879C7">
      <w:pPr>
        <w:rPr>
          <w:rFonts w:ascii="Times New Roman" w:hAnsi="Times New Roman" w:cs="Times New Roman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кПа (760 мм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рт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>. ст.).</w:t>
      </w: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2507"/>
        <w:gridCol w:w="3260"/>
      </w:tblGrid>
      <w:tr w:rsidR="009879C7" w:rsidRPr="001C129E" w:rsidTr="001C129E">
        <w:trPr>
          <w:trHeight w:val="131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>Найменування товару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 xml:space="preserve">Одиниця виміру </w:t>
            </w:r>
          </w:p>
        </w:tc>
        <w:tc>
          <w:tcPr>
            <w:tcW w:w="3260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 w:eastAsia="ar-SA"/>
              </w:rPr>
              <w:t>Кількість товару</w:t>
            </w:r>
          </w:p>
        </w:tc>
      </w:tr>
      <w:tr w:rsidR="009879C7" w:rsidRPr="00D67493" w:rsidTr="001C129E">
        <w:trPr>
          <w:trHeight w:val="42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Природний газ</w:t>
            </w:r>
          </w:p>
          <w:p w:rsidR="001C129E" w:rsidRPr="001C129E" w:rsidRDefault="001C129E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ru-RU" w:eastAsia="ar-SA"/>
              </w:rPr>
              <w:t>01</w:t>
            </w:r>
            <w:r w:rsidR="00D67493">
              <w:rPr>
                <w:rFonts w:ascii="Times New Roman" w:hAnsi="Times New Roman" w:cs="Times New Roman"/>
                <w:sz w:val="22"/>
                <w:lang w:val="uk-UA" w:eastAsia="ar-SA"/>
              </w:rPr>
              <w:t>.04.2023р. - 31.12</w:t>
            </w: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.2023р.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м</w:t>
            </w:r>
            <w:r w:rsidRPr="001C129E">
              <w:rPr>
                <w:rFonts w:ascii="Times New Roman" w:hAnsi="Times New Roman" w:cs="Times New Roman"/>
                <w:sz w:val="22"/>
                <w:vertAlign w:val="superscript"/>
                <w:lang w:val="uk-UA" w:eastAsia="ar-SA"/>
              </w:rPr>
              <w:t>3</w:t>
            </w:r>
          </w:p>
        </w:tc>
        <w:tc>
          <w:tcPr>
            <w:tcW w:w="3260" w:type="dxa"/>
            <w:vAlign w:val="center"/>
          </w:tcPr>
          <w:p w:rsidR="009879C7" w:rsidRPr="001C129E" w:rsidRDefault="00D67493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2"/>
                <w:lang w:val="uk-UA" w:eastAsia="ar-SA"/>
              </w:rPr>
              <w:t>133890</w:t>
            </w:r>
            <w:r w:rsidR="009879C7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,0</w:t>
            </w:r>
          </w:p>
        </w:tc>
      </w:tr>
    </w:tbl>
    <w:p w:rsidR="009879C7" w:rsidRPr="001C129E" w:rsidRDefault="009879C7" w:rsidP="001C129E">
      <w:pPr>
        <w:rPr>
          <w:rFonts w:ascii="Times New Roman" w:hAnsi="Times New Roman" w:cs="Times New Roman"/>
          <w:sz w:val="22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Товар </w:t>
      </w:r>
      <w:r w:rsidRPr="001C129E">
        <w:rPr>
          <w:rFonts w:ascii="Times New Roman" w:hAnsi="Times New Roman" w:cs="Times New Roman"/>
          <w:sz w:val="22"/>
          <w:lang w:val="uk-UA"/>
        </w:rPr>
        <w:t xml:space="preserve">запропонований учасником повинен відповідати вимогам </w:t>
      </w:r>
      <w:r w:rsidRPr="001C129E">
        <w:rPr>
          <w:rFonts w:ascii="Times New Roman" w:eastAsia="Calibri" w:hAnsi="Times New Roman" w:cs="Times New Roman"/>
          <w:sz w:val="22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4"/>
        <w:gridCol w:w="1893"/>
      </w:tblGrid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Норма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1. Теплота згоряння нижча,  МДж/м³ кПа,  при 20ºС  101,325 кПа,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31,8 (7600) </w:t>
            </w:r>
          </w:p>
        </w:tc>
      </w:tr>
      <w:tr w:rsidR="009879C7" w:rsidRPr="001C129E" w:rsidTr="002675FB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2. Область значень числа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Воббе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(вищого),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9850-13000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0,02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4. Масова концентрація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меркаптановоїсірки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0,036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1,0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6. Маса механічних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домішків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0,001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 3</w:t>
            </w:r>
          </w:p>
        </w:tc>
      </w:tr>
    </w:tbl>
    <w:p w:rsidR="009879C7" w:rsidRPr="001C129E" w:rsidRDefault="009879C7" w:rsidP="001C129E">
      <w:pPr>
        <w:jc w:val="both"/>
        <w:rPr>
          <w:rFonts w:ascii="Times New Roman" w:hAnsi="Times New Roman" w:cs="Times New Roman"/>
          <w:b/>
          <w:bCs/>
          <w:sz w:val="22"/>
          <w:lang w:val="uk-U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газорозподільних систем</w:t>
      </w: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 та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газотранспортної системи</w:t>
      </w:r>
      <w:r w:rsidRPr="001C129E">
        <w:rPr>
          <w:rFonts w:ascii="Times New Roman" w:hAnsi="Times New Roman" w:cs="Times New Roman"/>
          <w:sz w:val="22"/>
          <w:lang w:val="uk-UA" w:eastAsia="ar-SA"/>
        </w:rPr>
        <w:t>.</w:t>
      </w: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Закону України «Про ринок природного газу»;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9879C7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982"/>
        <w:gridCol w:w="4163"/>
      </w:tblGrid>
      <w:tr w:rsidR="007D010D" w:rsidTr="00134325">
        <w:tc>
          <w:tcPr>
            <w:tcW w:w="83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tabs>
                <w:tab w:val="left" w:pos="724"/>
              </w:tabs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3982" w:type="dxa"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  <w:r>
              <w:t>Назва ліцею</w:t>
            </w:r>
          </w:p>
        </w:tc>
        <w:tc>
          <w:tcPr>
            <w:tcW w:w="4163" w:type="dxa"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Об’єм, м3</w:t>
            </w:r>
          </w:p>
        </w:tc>
      </w:tr>
      <w:tr w:rsidR="007D010D" w:rsidRPr="00D81FBE" w:rsidTr="00006477">
        <w:tc>
          <w:tcPr>
            <w:tcW w:w="832" w:type="dxa"/>
            <w:shd w:val="clear" w:color="auto" w:fill="auto"/>
          </w:tcPr>
          <w:p w:rsidR="007D010D" w:rsidRPr="00D81FBE" w:rsidRDefault="00D67493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98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>Пустомитівський ліцей №2</w:t>
            </w:r>
          </w:p>
        </w:tc>
        <w:tc>
          <w:tcPr>
            <w:tcW w:w="4163" w:type="dxa"/>
            <w:vMerge w:val="restart"/>
            <w:shd w:val="clear" w:color="auto" w:fill="auto"/>
            <w:vAlign w:val="center"/>
          </w:tcPr>
          <w:p w:rsidR="007D010D" w:rsidRDefault="00D67493" w:rsidP="00006477">
            <w:pPr>
              <w:pStyle w:val="21"/>
              <w:shd w:val="clear" w:color="auto" w:fill="auto"/>
              <w:spacing w:line="240" w:lineRule="auto"/>
              <w:jc w:val="center"/>
            </w:pPr>
            <w:r>
              <w:t>76990,00</w:t>
            </w:r>
          </w:p>
        </w:tc>
      </w:tr>
      <w:tr w:rsidR="007D010D" w:rsidRPr="00D81FBE" w:rsidTr="00134325">
        <w:tc>
          <w:tcPr>
            <w:tcW w:w="832" w:type="dxa"/>
            <w:shd w:val="clear" w:color="auto" w:fill="auto"/>
          </w:tcPr>
          <w:p w:rsidR="007D010D" w:rsidRPr="00D81FBE" w:rsidRDefault="00D67493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98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D81FBE">
              <w:rPr>
                <w:b w:val="0"/>
                <w:bCs w:val="0"/>
                <w:i w:val="0"/>
                <w:iCs w:val="0"/>
              </w:rPr>
              <w:t>Містківський</w:t>
            </w:r>
            <w:proofErr w:type="spellEnd"/>
            <w:r w:rsidRPr="00D81FBE">
              <w:rPr>
                <w:b w:val="0"/>
                <w:bCs w:val="0"/>
                <w:i w:val="0"/>
                <w:iCs w:val="0"/>
              </w:rPr>
              <w:t xml:space="preserve"> ліцей</w:t>
            </w:r>
          </w:p>
        </w:tc>
        <w:tc>
          <w:tcPr>
            <w:tcW w:w="4163" w:type="dxa"/>
            <w:vMerge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</w:p>
        </w:tc>
      </w:tr>
      <w:tr w:rsidR="007D010D" w:rsidRPr="00D81FBE" w:rsidTr="00134325">
        <w:tc>
          <w:tcPr>
            <w:tcW w:w="832" w:type="dxa"/>
            <w:shd w:val="clear" w:color="auto" w:fill="auto"/>
          </w:tcPr>
          <w:p w:rsidR="007D010D" w:rsidRPr="00D81FBE" w:rsidRDefault="00D67493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98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>Семенівський ліцей</w:t>
            </w:r>
          </w:p>
        </w:tc>
        <w:tc>
          <w:tcPr>
            <w:tcW w:w="4163" w:type="dxa"/>
            <w:vMerge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</w:p>
        </w:tc>
      </w:tr>
      <w:tr w:rsidR="007D010D" w:rsidRPr="00D81FBE" w:rsidTr="00134325">
        <w:tc>
          <w:tcPr>
            <w:tcW w:w="832" w:type="dxa"/>
            <w:shd w:val="clear" w:color="auto" w:fill="auto"/>
          </w:tcPr>
          <w:p w:rsidR="00D67493" w:rsidRPr="00D81FBE" w:rsidRDefault="00D67493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98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D81FBE">
              <w:rPr>
                <w:b w:val="0"/>
                <w:bCs w:val="0"/>
                <w:i w:val="0"/>
                <w:iCs w:val="0"/>
              </w:rPr>
              <w:t>Наварійський</w:t>
            </w:r>
            <w:proofErr w:type="spellEnd"/>
            <w:r w:rsidRPr="00D81FBE">
              <w:rPr>
                <w:b w:val="0"/>
                <w:bCs w:val="0"/>
                <w:i w:val="0"/>
                <w:iCs w:val="0"/>
              </w:rPr>
              <w:t xml:space="preserve"> ліцей</w:t>
            </w:r>
          </w:p>
        </w:tc>
        <w:tc>
          <w:tcPr>
            <w:tcW w:w="4163" w:type="dxa"/>
            <w:vMerge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</w:p>
        </w:tc>
      </w:tr>
    </w:tbl>
    <w:p w:rsidR="007D010D" w:rsidRDefault="007D010D" w:rsidP="007D010D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Садочки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042"/>
        <w:gridCol w:w="4042"/>
      </w:tblGrid>
      <w:tr w:rsidR="007D010D" w:rsidTr="00134325">
        <w:tc>
          <w:tcPr>
            <w:tcW w:w="832" w:type="dxa"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  <w:r>
              <w:t>№</w:t>
            </w:r>
          </w:p>
        </w:tc>
        <w:tc>
          <w:tcPr>
            <w:tcW w:w="4042" w:type="dxa"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  <w:r>
              <w:t>Назва садочку</w:t>
            </w:r>
          </w:p>
        </w:tc>
        <w:tc>
          <w:tcPr>
            <w:tcW w:w="4042" w:type="dxa"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Об’єм, м3</w:t>
            </w:r>
          </w:p>
        </w:tc>
      </w:tr>
      <w:tr w:rsidR="007D010D" w:rsidRPr="00D81FBE" w:rsidTr="00134325">
        <w:tc>
          <w:tcPr>
            <w:tcW w:w="83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 xml:space="preserve">ЗДО №1 </w:t>
            </w:r>
            <w:proofErr w:type="spellStart"/>
            <w:r w:rsidRPr="00D81FBE">
              <w:rPr>
                <w:b w:val="0"/>
                <w:bCs w:val="0"/>
                <w:i w:val="0"/>
                <w:iCs w:val="0"/>
              </w:rPr>
              <w:t>м.Пустомити</w:t>
            </w:r>
            <w:proofErr w:type="spellEnd"/>
          </w:p>
        </w:tc>
        <w:tc>
          <w:tcPr>
            <w:tcW w:w="4042" w:type="dxa"/>
            <w:vMerge w:val="restart"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</w:p>
          <w:p w:rsidR="007D010D" w:rsidRDefault="00D67493" w:rsidP="00134325">
            <w:pPr>
              <w:pStyle w:val="21"/>
              <w:shd w:val="clear" w:color="auto" w:fill="auto"/>
              <w:spacing w:line="240" w:lineRule="auto"/>
              <w:jc w:val="center"/>
            </w:pPr>
            <w:r>
              <w:t>56900</w:t>
            </w:r>
            <w:r w:rsidR="007D010D">
              <w:t>,00</w:t>
            </w:r>
          </w:p>
        </w:tc>
      </w:tr>
      <w:tr w:rsidR="007D010D" w:rsidRPr="00D81FBE" w:rsidTr="00134325">
        <w:tc>
          <w:tcPr>
            <w:tcW w:w="83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404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 xml:space="preserve">ЗДО №2 </w:t>
            </w:r>
            <w:proofErr w:type="spellStart"/>
            <w:r w:rsidRPr="00D81FBE">
              <w:rPr>
                <w:b w:val="0"/>
                <w:bCs w:val="0"/>
                <w:i w:val="0"/>
                <w:iCs w:val="0"/>
              </w:rPr>
              <w:t>м.Пустомити</w:t>
            </w:r>
            <w:proofErr w:type="spellEnd"/>
          </w:p>
        </w:tc>
        <w:tc>
          <w:tcPr>
            <w:tcW w:w="4042" w:type="dxa"/>
            <w:vMerge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</w:p>
        </w:tc>
      </w:tr>
      <w:tr w:rsidR="007D010D" w:rsidRPr="00D81FBE" w:rsidTr="00134325">
        <w:tc>
          <w:tcPr>
            <w:tcW w:w="83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 xml:space="preserve">ЗДО №3 </w:t>
            </w:r>
            <w:proofErr w:type="spellStart"/>
            <w:r w:rsidRPr="00D81FBE">
              <w:rPr>
                <w:b w:val="0"/>
                <w:bCs w:val="0"/>
                <w:i w:val="0"/>
                <w:iCs w:val="0"/>
              </w:rPr>
              <w:t>м.Пустомити</w:t>
            </w:r>
            <w:proofErr w:type="spellEnd"/>
          </w:p>
        </w:tc>
        <w:tc>
          <w:tcPr>
            <w:tcW w:w="4042" w:type="dxa"/>
            <w:vMerge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</w:p>
        </w:tc>
      </w:tr>
      <w:tr w:rsidR="007D010D" w:rsidRPr="00D81FBE" w:rsidTr="00134325">
        <w:tc>
          <w:tcPr>
            <w:tcW w:w="83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4042" w:type="dxa"/>
            <w:shd w:val="clear" w:color="auto" w:fill="auto"/>
          </w:tcPr>
          <w:p w:rsidR="007D010D" w:rsidRPr="00D81FBE" w:rsidRDefault="007D010D" w:rsidP="0013432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D81FBE">
              <w:rPr>
                <w:b w:val="0"/>
                <w:bCs w:val="0"/>
                <w:i w:val="0"/>
                <w:iCs w:val="0"/>
              </w:rPr>
              <w:t xml:space="preserve">ЗДО  </w:t>
            </w:r>
            <w:proofErr w:type="spellStart"/>
            <w:r w:rsidRPr="00D81FBE">
              <w:rPr>
                <w:b w:val="0"/>
                <w:bCs w:val="0"/>
                <w:i w:val="0"/>
                <w:iCs w:val="0"/>
              </w:rPr>
              <w:t>с.Семенівка</w:t>
            </w:r>
            <w:proofErr w:type="spellEnd"/>
          </w:p>
        </w:tc>
        <w:tc>
          <w:tcPr>
            <w:tcW w:w="4042" w:type="dxa"/>
            <w:vMerge/>
            <w:shd w:val="clear" w:color="auto" w:fill="auto"/>
          </w:tcPr>
          <w:p w:rsidR="007D010D" w:rsidRDefault="007D010D" w:rsidP="00134325">
            <w:pPr>
              <w:pStyle w:val="21"/>
              <w:shd w:val="clear" w:color="auto" w:fill="auto"/>
              <w:spacing w:line="240" w:lineRule="auto"/>
              <w:jc w:val="both"/>
            </w:pPr>
          </w:p>
        </w:tc>
      </w:tr>
    </w:tbl>
    <w:p w:rsidR="00A21C64" w:rsidRPr="001C129E" w:rsidRDefault="00EE58B1" w:rsidP="001C129E">
      <w:pPr>
        <w:jc w:val="both"/>
        <w:rPr>
          <w:rFonts w:ascii="Times New Roman" w:hAnsi="Times New Roman" w:cs="Times New Roman"/>
          <w:i/>
          <w:sz w:val="22"/>
          <w:lang w:val="uk-UA"/>
        </w:rPr>
      </w:pPr>
      <w:r w:rsidRPr="001C129E">
        <w:rPr>
          <w:rFonts w:ascii="Times New Roman" w:hAnsi="Times New Roman" w:cs="Times New Roman"/>
          <w:i/>
          <w:sz w:val="22"/>
          <w:lang w:val="ru-RU"/>
        </w:rPr>
        <w:t xml:space="preserve">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разі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якщо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нижче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по тексту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технічні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специфікації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містять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посилання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виробника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конкретний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процес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характеризує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продукт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послугу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певного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суб’єкта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господарювання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торгові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марки,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патенти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типи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місце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походження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спосіб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виробництва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. - </w:t>
      </w:r>
      <w:proofErr w:type="spellStart"/>
      <w:proofErr w:type="gramStart"/>
      <w:r w:rsidRPr="001C129E">
        <w:rPr>
          <w:rFonts w:ascii="Times New Roman" w:hAnsi="Times New Roman" w:cs="Times New Roman"/>
          <w:i/>
          <w:sz w:val="22"/>
          <w:lang w:val="ru-RU"/>
        </w:rPr>
        <w:t>читати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 "</w:t>
      </w:r>
      <w:proofErr w:type="spellStart"/>
      <w:proofErr w:type="gramEnd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еквівалент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>".</w:t>
      </w:r>
    </w:p>
    <w:sectPr w:rsidR="00A21C64" w:rsidRPr="001C129E" w:rsidSect="00294A30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9"/>
    <w:rsid w:val="00006477"/>
    <w:rsid w:val="001C129E"/>
    <w:rsid w:val="00294A30"/>
    <w:rsid w:val="00414AE4"/>
    <w:rsid w:val="005607FB"/>
    <w:rsid w:val="00787389"/>
    <w:rsid w:val="007D010D"/>
    <w:rsid w:val="009879C7"/>
    <w:rsid w:val="00A21C64"/>
    <w:rsid w:val="00A72FCB"/>
    <w:rsid w:val="00CB528C"/>
    <w:rsid w:val="00D138B9"/>
    <w:rsid w:val="00D527C4"/>
    <w:rsid w:val="00D67493"/>
    <w:rsid w:val="00E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C9A5-9571-43C4-AC85-E76C0F2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879C7"/>
    <w:rPr>
      <w:lang w:val="ru-RU"/>
    </w:rPr>
  </w:style>
  <w:style w:type="character" w:customStyle="1" w:styleId="2">
    <w:name w:val="Основной текст (2)_"/>
    <w:link w:val="21"/>
    <w:rsid w:val="007D010D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20">
    <w:name w:val="Основной текст (2)"/>
    <w:rsid w:val="007D010D"/>
    <w:rPr>
      <w:rFonts w:ascii="Times New Roman" w:hAnsi="Times New Roman" w:cs="Times New Roman"/>
      <w:b/>
      <w:bCs/>
      <w:i/>
      <w:iCs/>
      <w:spacing w:val="5"/>
      <w:sz w:val="20"/>
      <w:szCs w:val="20"/>
      <w:u w:val="single"/>
    </w:rPr>
  </w:style>
  <w:style w:type="paragraph" w:customStyle="1" w:styleId="21">
    <w:name w:val="Основной текст (2)1"/>
    <w:basedOn w:val="a"/>
    <w:link w:val="2"/>
    <w:rsid w:val="007D010D"/>
    <w:pPr>
      <w:shd w:val="clear" w:color="auto" w:fill="FFFFFF"/>
      <w:suppressAutoHyphens w:val="0"/>
      <w:autoSpaceDN/>
      <w:spacing w:line="274" w:lineRule="exact"/>
      <w:textAlignment w:val="auto"/>
    </w:pPr>
    <w:rPr>
      <w:rFonts w:ascii="Times New Roman" w:eastAsiaTheme="minorHAnsi" w:hAnsi="Times New Roman" w:cs="Times New Roman"/>
      <w:b/>
      <w:bCs/>
      <w:i/>
      <w:iCs/>
      <w:color w:val="auto"/>
      <w:spacing w:val="5"/>
      <w:kern w:val="0"/>
      <w:sz w:val="20"/>
      <w:szCs w:val="20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Buch</cp:lastModifiedBy>
  <cp:revision>2</cp:revision>
  <dcterms:created xsi:type="dcterms:W3CDTF">2023-03-29T08:04:00Z</dcterms:created>
  <dcterms:modified xsi:type="dcterms:W3CDTF">2023-03-29T08:04:00Z</dcterms:modified>
</cp:coreProperties>
</file>