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“Масло вершкове (код ДК 021:2015 — 15530000-2. Вершкове масло)”</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left="0" w:right="-262"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2</Pages>
  <Words>574</Words>
  <Characters>3778</Characters>
  <CharactersWithSpaces>4370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