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54CA83C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E72844">
        <w:rPr>
          <w:rFonts w:ascii="Times New Roman" w:eastAsia="Arial" w:hAnsi="Times New Roman" w:cs="Times New Roman"/>
          <w:bCs/>
          <w:color w:val="000000"/>
          <w:sz w:val="24"/>
          <w:szCs w:val="24"/>
          <w:lang w:eastAsia="ru-RU"/>
        </w:rPr>
        <w:t>17</w:t>
      </w:r>
      <w:r>
        <w:rPr>
          <w:rFonts w:ascii="Times New Roman" w:eastAsia="Arial" w:hAnsi="Times New Roman" w:cs="Times New Roman"/>
          <w:bCs/>
          <w:color w:val="000000"/>
          <w:sz w:val="24"/>
          <w:szCs w:val="24"/>
          <w:lang w:eastAsia="ru-RU"/>
        </w:rPr>
        <w:t xml:space="preserve">» </w:t>
      </w:r>
      <w:r w:rsidR="006C76F4">
        <w:rPr>
          <w:rFonts w:ascii="Times New Roman" w:eastAsia="Arial" w:hAnsi="Times New Roman" w:cs="Times New Roman"/>
          <w:bCs/>
          <w:color w:val="000000"/>
          <w:sz w:val="24"/>
          <w:szCs w:val="24"/>
          <w:lang w:eastAsia="ru-RU"/>
        </w:rPr>
        <w:t>жовтн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Pr="00084F33">
        <w:rPr>
          <w:rFonts w:ascii="Times New Roman" w:eastAsia="Arial" w:hAnsi="Times New Roman" w:cs="Times New Roman"/>
          <w:bCs/>
          <w:sz w:val="24"/>
          <w:szCs w:val="24"/>
          <w:lang w:eastAsia="ru-RU"/>
        </w:rPr>
        <w:t>2023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3BA049B9"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77777777" w:rsidR="001D4850" w:rsidRPr="00084F33" w:rsidRDefault="001D4850"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2023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7804894E" w:rsidR="00097E39" w:rsidRPr="00097E39" w:rsidRDefault="00BC4B9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3DD35BDF"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72844">
              <w:rPr>
                <w:rFonts w:ascii="Times New Roman" w:eastAsia="Times New Roman" w:hAnsi="Times New Roman" w:cs="Times New Roman"/>
                <w:b/>
                <w:sz w:val="24"/>
                <w:szCs w:val="24"/>
                <w:lang w:val="ru-RU"/>
              </w:rPr>
              <w:t>25</w:t>
            </w:r>
            <w:r w:rsidR="007A0523" w:rsidRPr="007A0523">
              <w:rPr>
                <w:rFonts w:ascii="Times New Roman" w:eastAsia="Times New Roman" w:hAnsi="Times New Roman" w:cs="Times New Roman"/>
                <w:b/>
                <w:sz w:val="24"/>
                <w:szCs w:val="24"/>
              </w:rPr>
              <w:t>.</w:t>
            </w:r>
            <w:r w:rsidR="007D4FE8">
              <w:rPr>
                <w:rFonts w:ascii="Times New Roman" w:eastAsia="Times New Roman" w:hAnsi="Times New Roman" w:cs="Times New Roman"/>
                <w:b/>
                <w:sz w:val="24"/>
                <w:szCs w:val="24"/>
                <w:lang w:val="ru-RU"/>
              </w:rPr>
              <w:t>10</w:t>
            </w:r>
            <w:r w:rsidR="007A0523" w:rsidRPr="007A0523">
              <w:rPr>
                <w:rFonts w:ascii="Times New Roman" w:eastAsia="Times New Roman" w:hAnsi="Times New Roman" w:cs="Times New Roman"/>
                <w:b/>
                <w:sz w:val="24"/>
                <w:szCs w:val="24"/>
              </w:rPr>
              <w:t>.2023</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77777777"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A95F17">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95F17">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777777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Pr>
                <w:rFonts w:ascii="Times New Roman" w:eastAsia="SimSun" w:hAnsi="Times New Roman" w:cs="Times New Roman"/>
                <w:sz w:val="24"/>
                <w:szCs w:val="24"/>
                <w:lang w:eastAsia="ru-RU"/>
              </w:rPr>
              <w:t>-их) договору(-ів) у 2020 – 2023</w:t>
            </w:r>
            <w:r w:rsidRPr="0050120A">
              <w:rPr>
                <w:rFonts w:ascii="Times New Roman" w:eastAsia="SimSun" w:hAnsi="Times New Roman" w:cs="Times New Roman"/>
                <w:sz w:val="24"/>
                <w:szCs w:val="24"/>
                <w:lang w:eastAsia="ru-RU"/>
              </w:rPr>
              <w:t xml:space="preserve"> р.р. </w:t>
            </w:r>
          </w:p>
          <w:p w14:paraId="68724949" w14:textId="7777777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Pr>
                <w:rFonts w:ascii="Times New Roman" w:eastAsia="SimSun" w:hAnsi="Times New Roman" w:cs="Times New Roman"/>
                <w:sz w:val="24"/>
                <w:szCs w:val="24"/>
                <w:lang w:eastAsia="ru-RU"/>
              </w:rPr>
              <w:t>-их) договору(-ів) у 2020 – 2023</w:t>
            </w:r>
            <w:r w:rsidRPr="0050120A">
              <w:rPr>
                <w:rFonts w:ascii="Times New Roman" w:eastAsia="SimSun" w:hAnsi="Times New Roman" w:cs="Times New Roman"/>
                <w:sz w:val="24"/>
                <w:szCs w:val="24"/>
                <w:lang w:eastAsia="ru-RU"/>
              </w:rPr>
              <w:t xml:space="preserve"> р.р.</w:t>
            </w:r>
          </w:p>
          <w:p w14:paraId="7D9688E2" w14:textId="12E24AA4"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мототранспортних засобів і супутнього обладнання </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обладнання, </w:t>
            </w:r>
            <w:r w:rsidRPr="0050120A">
              <w:rPr>
                <w:rFonts w:ascii="Times New Roman" w:eastAsia="SimSun" w:hAnsi="Times New Roman" w:cs="Times New Roman"/>
                <w:b/>
                <w:sz w:val="24"/>
                <w:szCs w:val="24"/>
                <w:shd w:val="clear" w:color="auto" w:fill="FFFFFF"/>
                <w:lang w:eastAsia="ru-RU"/>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713EEB1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BC4B9E">
        <w:rPr>
          <w:rFonts w:ascii="Times New Roman" w:eastAsia="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E84A0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E84A0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E84A07">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E84A07">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E84A07">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E84A07">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E84A07">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43F79893" w14:textId="163A721D" w:rsidR="00984FB1" w:rsidRPr="00984FB1" w:rsidRDefault="00BC4B9E"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0CA5278E" w14:textId="77777777" w:rsidR="00984FB1" w:rsidRPr="00461317" w:rsidRDefault="00984FB1"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5B356E">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7A2EA4D4"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712412">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Pr="00097E39">
              <w:rPr>
                <w:rFonts w:ascii="Times New Roman" w:eastAsia="Arial" w:hAnsi="Times New Roman" w:cs="Times New Roman"/>
                <w:sz w:val="24"/>
                <w:szCs w:val="24"/>
                <w:lang w:eastAsia="ru-RU"/>
              </w:rPr>
              <w:t>.2023</w:t>
            </w:r>
          </w:p>
        </w:tc>
      </w:tr>
      <w:tr w:rsidR="00097E39" w:rsidRPr="00097E39" w14:paraId="69E8F8EB" w14:textId="77777777" w:rsidTr="005B356E">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14:paraId="44B9339F" w14:textId="77777777" w:rsidTr="005B356E">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2119E0D0" w:rsidR="00097E39" w:rsidRPr="00FD4C36" w:rsidRDefault="00E72844"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 xml:space="preserve">11 </w:t>
            </w:r>
            <w:r w:rsidR="00FD4C36" w:rsidRPr="00FD4C36">
              <w:rPr>
                <w:rFonts w:ascii="Times New Roman" w:eastAsia="Arial" w:hAnsi="Times New Roman" w:cs="Times New Roman"/>
                <w:sz w:val="24"/>
                <w:szCs w:val="24"/>
                <w:lang w:eastAsia="ru-RU"/>
              </w:rPr>
              <w:t>послуг</w:t>
            </w:r>
          </w:p>
        </w:tc>
      </w:tr>
    </w:tbl>
    <w:p w14:paraId="0FFE34D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04F66878" w14:textId="77777777" w:rsidR="00E72844" w:rsidRPr="00A7428B" w:rsidRDefault="00E72844" w:rsidP="00E72844">
      <w:pPr>
        <w:suppressAutoHyphens/>
        <w:spacing w:after="0" w:line="240" w:lineRule="auto"/>
        <w:ind w:hanging="993"/>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w:t>
      </w:r>
      <w:r w:rsidRPr="00842A7B">
        <w:rPr>
          <w:rFonts w:ascii="Times New Roman" w:eastAsia="Times New Roman" w:hAnsi="Times New Roman" w:cs="Times New Roman"/>
          <w:b/>
          <w:sz w:val="24"/>
          <w:szCs w:val="24"/>
          <w:lang w:eastAsia="ar-SA"/>
        </w:rPr>
        <w:t xml:space="preserve">автомобіля </w:t>
      </w:r>
      <w:r w:rsidRPr="00842A7B">
        <w:rPr>
          <w:rFonts w:ascii="Times New Roman" w:hAnsi="Times New Roman" w:cs="Times New Roman"/>
          <w:b/>
          <w:sz w:val="24"/>
          <w:szCs w:val="24"/>
        </w:rPr>
        <w:t>Mitsubishi</w:t>
      </w:r>
      <w:r>
        <w:rPr>
          <w:sz w:val="28"/>
          <w:szCs w:val="28"/>
        </w:rPr>
        <w:t xml:space="preserve"> </w:t>
      </w:r>
      <w:r>
        <w:rPr>
          <w:rFonts w:ascii="Times New Roman" w:eastAsia="Times New Roman" w:hAnsi="Times New Roman" w:cs="Times New Roman"/>
          <w:b/>
          <w:sz w:val="24"/>
          <w:szCs w:val="24"/>
          <w:lang w:val="en-US" w:eastAsia="ar-SA"/>
        </w:rPr>
        <w:t>L</w:t>
      </w:r>
      <w:r w:rsidRPr="00A7428B">
        <w:rPr>
          <w:rFonts w:ascii="Times New Roman" w:eastAsia="Times New Roman" w:hAnsi="Times New Roman" w:cs="Times New Roman"/>
          <w:b/>
          <w:sz w:val="24"/>
          <w:szCs w:val="24"/>
          <w:lang w:eastAsia="ar-SA"/>
        </w:rPr>
        <w:t>-200</w:t>
      </w:r>
    </w:p>
    <w:p w14:paraId="7C127BB6" w14:textId="77777777" w:rsidR="00E72844" w:rsidRDefault="00E72844" w:rsidP="00E72844">
      <w:pPr>
        <w:suppressAutoHyphens/>
        <w:spacing w:after="0" w:line="240" w:lineRule="auto"/>
        <w:ind w:hanging="993"/>
        <w:jc w:val="center"/>
        <w:rPr>
          <w:rFonts w:ascii="Times New Roman" w:eastAsia="Times New Roman" w:hAnsi="Times New Roman" w:cs="Times New Roman"/>
          <w:b/>
          <w:sz w:val="24"/>
          <w:szCs w:val="24"/>
          <w:lang w:eastAsia="ar-SA"/>
        </w:rPr>
      </w:pPr>
    </w:p>
    <w:tbl>
      <w:tblPr>
        <w:tblStyle w:val="a4"/>
        <w:tblW w:w="0" w:type="auto"/>
        <w:tblLook w:val="04A0" w:firstRow="1" w:lastRow="0" w:firstColumn="1" w:lastColumn="0" w:noHBand="0" w:noVBand="1"/>
      </w:tblPr>
      <w:tblGrid>
        <w:gridCol w:w="3115"/>
        <w:gridCol w:w="3115"/>
        <w:gridCol w:w="3115"/>
      </w:tblGrid>
      <w:tr w:rsidR="00E72844" w14:paraId="0F86CB25" w14:textId="77777777" w:rsidTr="003F0548">
        <w:tc>
          <w:tcPr>
            <w:tcW w:w="3115" w:type="dxa"/>
          </w:tcPr>
          <w:p w14:paraId="6C20F731" w14:textId="77777777" w:rsidR="00E72844" w:rsidRDefault="00E72844" w:rsidP="003F0548">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14:paraId="47B7F93A" w14:textId="77777777" w:rsidR="00E72844" w:rsidRDefault="00E72844" w:rsidP="003F0548">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14:paraId="77E10B98" w14:textId="77777777" w:rsidR="00E72844" w:rsidRDefault="00E72844" w:rsidP="003F0548">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E72844" w14:paraId="52DF6185" w14:textId="77777777" w:rsidTr="003F0548">
        <w:tc>
          <w:tcPr>
            <w:tcW w:w="3115" w:type="dxa"/>
          </w:tcPr>
          <w:p w14:paraId="412C06E9" w14:textId="77777777" w:rsidR="00E72844" w:rsidRPr="00E61EB1" w:rsidRDefault="00E72844" w:rsidP="003F0548">
            <w:pPr>
              <w:suppressAutoHyphens/>
              <w:ind w:hanging="993"/>
              <w:jc w:val="center"/>
              <w:rPr>
                <w:rFonts w:ascii="Times New Roman" w:eastAsia="Times New Roman" w:hAnsi="Times New Roman" w:cs="Times New Roman"/>
                <w:sz w:val="24"/>
                <w:szCs w:val="24"/>
                <w:lang w:val="en-US" w:eastAsia="ar-SA"/>
              </w:rPr>
            </w:pPr>
            <w:r w:rsidRPr="00E61EB1">
              <w:rPr>
                <w:rFonts w:ascii="Times New Roman" w:hAnsi="Times New Roman" w:cs="Times New Roman"/>
                <w:sz w:val="24"/>
                <w:szCs w:val="24"/>
                <w:lang w:val="en-US"/>
              </w:rPr>
              <w:t xml:space="preserve">                </w:t>
            </w:r>
            <w:r w:rsidRPr="00E61EB1">
              <w:rPr>
                <w:rFonts w:ascii="Times New Roman" w:hAnsi="Times New Roman" w:cs="Times New Roman"/>
                <w:sz w:val="24"/>
                <w:szCs w:val="24"/>
              </w:rPr>
              <w:t>Mitsubishi</w:t>
            </w:r>
            <w:r w:rsidRPr="00E61EB1">
              <w:rPr>
                <w:sz w:val="28"/>
                <w:szCs w:val="28"/>
              </w:rPr>
              <w:t xml:space="preserve"> </w:t>
            </w:r>
            <w:r w:rsidRPr="00E61EB1">
              <w:rPr>
                <w:rFonts w:ascii="Times New Roman" w:eastAsia="Times New Roman" w:hAnsi="Times New Roman" w:cs="Times New Roman"/>
                <w:sz w:val="24"/>
                <w:szCs w:val="24"/>
                <w:lang w:val="en-US" w:eastAsia="ar-SA"/>
              </w:rPr>
              <w:t>L</w:t>
            </w:r>
            <w:r w:rsidRPr="00E61EB1">
              <w:rPr>
                <w:rFonts w:ascii="Times New Roman" w:eastAsia="Times New Roman" w:hAnsi="Times New Roman" w:cs="Times New Roman"/>
                <w:sz w:val="24"/>
                <w:szCs w:val="24"/>
                <w:lang w:eastAsia="ar-SA"/>
              </w:rPr>
              <w:t>-200</w:t>
            </w:r>
          </w:p>
        </w:tc>
        <w:tc>
          <w:tcPr>
            <w:tcW w:w="3115" w:type="dxa"/>
          </w:tcPr>
          <w:p w14:paraId="5111E286" w14:textId="77777777" w:rsidR="00E72844" w:rsidRPr="00E61EB1" w:rsidRDefault="00E72844" w:rsidP="003F0548">
            <w:pPr>
              <w:jc w:val="center"/>
              <w:rPr>
                <w:rFonts w:ascii="Times New Roman" w:hAnsi="Times New Roman" w:cs="Times New Roman"/>
                <w:sz w:val="24"/>
                <w:szCs w:val="24"/>
                <w:lang w:val="en-US"/>
              </w:rPr>
            </w:pPr>
            <w:r w:rsidRPr="008C0E8C">
              <w:rPr>
                <w:rFonts w:ascii="Times New Roman" w:hAnsi="Times New Roman" w:cs="Times New Roman"/>
                <w:sz w:val="24"/>
                <w:szCs w:val="24"/>
              </w:rPr>
              <w:t>201</w:t>
            </w:r>
            <w:r>
              <w:rPr>
                <w:rFonts w:ascii="Times New Roman" w:hAnsi="Times New Roman" w:cs="Times New Roman"/>
                <w:sz w:val="24"/>
                <w:szCs w:val="24"/>
                <w:lang w:val="en-US"/>
              </w:rPr>
              <w:t>8</w:t>
            </w:r>
          </w:p>
        </w:tc>
        <w:tc>
          <w:tcPr>
            <w:tcW w:w="3115" w:type="dxa"/>
          </w:tcPr>
          <w:p w14:paraId="362C0C44" w14:textId="77777777" w:rsidR="00E72844" w:rsidRPr="00782B5A" w:rsidRDefault="00E72844" w:rsidP="003F0548">
            <w:pPr>
              <w:jc w:val="center"/>
              <w:rPr>
                <w:rFonts w:ascii="Times New Roman" w:hAnsi="Times New Roman" w:cs="Times New Roman"/>
                <w:sz w:val="24"/>
                <w:szCs w:val="24"/>
                <w:lang w:val="en-US"/>
              </w:rPr>
            </w:pPr>
            <w:r>
              <w:rPr>
                <w:rFonts w:ascii="Times New Roman" w:hAnsi="Times New Roman" w:cs="Times New Roman"/>
                <w:sz w:val="24"/>
                <w:szCs w:val="24"/>
                <w:lang w:val="en-US"/>
              </w:rPr>
              <w:t>MMCJJKL10JH021683</w:t>
            </w:r>
          </w:p>
        </w:tc>
      </w:tr>
    </w:tbl>
    <w:p w14:paraId="5EAD1CD5" w14:textId="77777777" w:rsidR="00E72844" w:rsidRDefault="00E72844" w:rsidP="00E72844">
      <w:pPr>
        <w:jc w:val="both"/>
        <w:rPr>
          <w:rFonts w:ascii="Times New Roman" w:hAnsi="Times New Roman" w:cs="Times New Roman"/>
          <w:b/>
          <w:sz w:val="24"/>
          <w:szCs w:val="24"/>
        </w:rPr>
      </w:pPr>
    </w:p>
    <w:tbl>
      <w:tblPr>
        <w:tblStyle w:val="a4"/>
        <w:tblW w:w="10774" w:type="dxa"/>
        <w:tblInd w:w="-856" w:type="dxa"/>
        <w:tblLayout w:type="fixed"/>
        <w:tblLook w:val="04A0" w:firstRow="1" w:lastRow="0" w:firstColumn="1" w:lastColumn="0" w:noHBand="0" w:noVBand="1"/>
      </w:tblPr>
      <w:tblGrid>
        <w:gridCol w:w="879"/>
        <w:gridCol w:w="2580"/>
        <w:gridCol w:w="1189"/>
        <w:gridCol w:w="1417"/>
        <w:gridCol w:w="1276"/>
        <w:gridCol w:w="1023"/>
        <w:gridCol w:w="1363"/>
        <w:gridCol w:w="15"/>
        <w:gridCol w:w="1032"/>
      </w:tblGrid>
      <w:tr w:rsidR="00E72844" w14:paraId="65B1FF6F" w14:textId="77777777" w:rsidTr="00E72844">
        <w:tc>
          <w:tcPr>
            <w:tcW w:w="879" w:type="dxa"/>
            <w:vAlign w:val="center"/>
          </w:tcPr>
          <w:p w14:paraId="3237F856" w14:textId="77777777" w:rsidR="00E72844" w:rsidRPr="004269FD" w:rsidRDefault="00E72844" w:rsidP="003F0548">
            <w:pPr>
              <w:jc w:val="both"/>
              <w:rPr>
                <w:rFonts w:ascii="Times New Roman" w:hAnsi="Times New Roman" w:cs="Times New Roman"/>
                <w:b/>
              </w:rPr>
            </w:pPr>
            <w:r w:rsidRPr="004269FD">
              <w:rPr>
                <w:rFonts w:ascii="Times New Roman" w:hAnsi="Times New Roman" w:cs="Times New Roman"/>
                <w:b/>
              </w:rPr>
              <w:t>№ п/п</w:t>
            </w:r>
          </w:p>
        </w:tc>
        <w:tc>
          <w:tcPr>
            <w:tcW w:w="2580" w:type="dxa"/>
            <w:vAlign w:val="center"/>
          </w:tcPr>
          <w:p w14:paraId="283ED6BB" w14:textId="77777777" w:rsidR="00E72844" w:rsidRPr="004269FD" w:rsidRDefault="00E72844" w:rsidP="003F0548">
            <w:pPr>
              <w:jc w:val="center"/>
              <w:rPr>
                <w:rFonts w:ascii="Times New Roman" w:hAnsi="Times New Roman" w:cs="Times New Roman"/>
                <w:b/>
              </w:rPr>
            </w:pPr>
            <w:r w:rsidRPr="004269FD">
              <w:rPr>
                <w:rFonts w:ascii="Times New Roman" w:eastAsia="Times New Roman" w:hAnsi="Times New Roman" w:cs="Times New Roman"/>
                <w:b/>
                <w:lang w:eastAsia="ar-SA"/>
              </w:rPr>
              <w:t>Найменування, вид послуг</w:t>
            </w:r>
          </w:p>
        </w:tc>
        <w:tc>
          <w:tcPr>
            <w:tcW w:w="1189" w:type="dxa"/>
            <w:shd w:val="clear" w:color="auto" w:fill="auto"/>
            <w:vAlign w:val="center"/>
          </w:tcPr>
          <w:p w14:paraId="0DC09575" w14:textId="77777777" w:rsidR="00E72844" w:rsidRPr="004269FD" w:rsidRDefault="00E72844" w:rsidP="003F0548">
            <w:pP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Вартість норм/год</w:t>
            </w:r>
            <w:r w:rsidRPr="004269FD">
              <w:rPr>
                <w:rFonts w:ascii="Times New Roman" w:eastAsia="Times New Roman" w:hAnsi="Times New Roman" w:cs="Times New Roman"/>
                <w:b/>
                <w:lang w:eastAsia="ar-SA"/>
              </w:rPr>
              <w:t xml:space="preserve"> грн. без ПДВ</w:t>
            </w:r>
          </w:p>
        </w:tc>
        <w:tc>
          <w:tcPr>
            <w:tcW w:w="1417" w:type="dxa"/>
            <w:shd w:val="clear" w:color="auto" w:fill="auto"/>
            <w:vAlign w:val="center"/>
          </w:tcPr>
          <w:p w14:paraId="303274F5" w14:textId="77777777" w:rsidR="00E72844" w:rsidRPr="004269FD" w:rsidRDefault="00E72844" w:rsidP="003F0548">
            <w:pPr>
              <w:suppressAutoHyphens/>
              <w:jc w:val="center"/>
              <w:rPr>
                <w:rFonts w:ascii="Times New Roman" w:eastAsia="Times New Roman" w:hAnsi="Times New Roman" w:cs="Times New Roman"/>
                <w:b/>
                <w:lang w:eastAsia="ar-SA"/>
              </w:rPr>
            </w:pPr>
            <w:r w:rsidRPr="004269FD">
              <w:rPr>
                <w:rFonts w:ascii="Times New Roman" w:eastAsia="Times New Roman" w:hAnsi="Times New Roman" w:cs="Times New Roman"/>
                <w:b/>
                <w:lang w:eastAsia="ar-SA"/>
              </w:rPr>
              <w:t>Термін виконання послуг,</w:t>
            </w:r>
            <w:r w:rsidRPr="004269FD">
              <w:rPr>
                <w:rFonts w:ascii="Times New Roman" w:eastAsia="Times New Roman" w:hAnsi="Times New Roman" w:cs="Times New Roman"/>
                <w:b/>
                <w:lang w:eastAsia="ar-SA"/>
              </w:rPr>
              <w:br/>
              <w:t>норм/год</w:t>
            </w:r>
          </w:p>
        </w:tc>
        <w:tc>
          <w:tcPr>
            <w:tcW w:w="1276" w:type="dxa"/>
            <w:shd w:val="clear" w:color="auto" w:fill="auto"/>
            <w:vAlign w:val="center"/>
          </w:tcPr>
          <w:p w14:paraId="1ABDB179" w14:textId="77777777" w:rsidR="00E72844" w:rsidRPr="004269FD" w:rsidRDefault="00E72844" w:rsidP="003F0548">
            <w:pPr>
              <w:suppressAutoHyphens/>
              <w:jc w:val="center"/>
              <w:rPr>
                <w:rFonts w:ascii="Times New Roman" w:eastAsia="Times New Roman" w:hAnsi="Times New Roman" w:cs="Times New Roman"/>
                <w:b/>
                <w:lang w:eastAsia="ar-SA"/>
              </w:rPr>
            </w:pPr>
            <w:r w:rsidRPr="004269FD">
              <w:rPr>
                <w:rFonts w:ascii="Times New Roman" w:eastAsia="Times New Roman" w:hAnsi="Times New Roman" w:cs="Times New Roman"/>
                <w:b/>
                <w:lang w:eastAsia="ar-SA"/>
              </w:rPr>
              <w:t xml:space="preserve">Вартість </w:t>
            </w:r>
            <w:r>
              <w:rPr>
                <w:rFonts w:ascii="Times New Roman" w:eastAsia="Times New Roman" w:hAnsi="Times New Roman" w:cs="Times New Roman"/>
                <w:b/>
                <w:lang w:eastAsia="ar-SA"/>
              </w:rPr>
              <w:t>запчастин</w:t>
            </w:r>
            <w:r w:rsidRPr="004269FD">
              <w:rPr>
                <w:rFonts w:ascii="Times New Roman" w:eastAsia="Times New Roman" w:hAnsi="Times New Roman" w:cs="Times New Roman"/>
                <w:b/>
                <w:lang w:eastAsia="ar-SA"/>
              </w:rPr>
              <w:t>грн без ПДВ</w:t>
            </w:r>
          </w:p>
        </w:tc>
        <w:tc>
          <w:tcPr>
            <w:tcW w:w="1023" w:type="dxa"/>
            <w:vAlign w:val="center"/>
          </w:tcPr>
          <w:p w14:paraId="7A4E39F5" w14:textId="77777777" w:rsidR="00E72844" w:rsidRPr="004269FD" w:rsidRDefault="00E72844" w:rsidP="003F0548">
            <w:pPr>
              <w:suppressAutoHyphens/>
              <w:jc w:val="center"/>
              <w:rPr>
                <w:rFonts w:ascii="Times New Roman" w:eastAsia="Times New Roman" w:hAnsi="Times New Roman" w:cs="Times New Roman"/>
                <w:b/>
                <w:lang w:eastAsia="ar-SA"/>
              </w:rPr>
            </w:pPr>
            <w:r w:rsidRPr="004269FD">
              <w:rPr>
                <w:rFonts w:ascii="Times New Roman" w:eastAsia="Times New Roman" w:hAnsi="Times New Roman" w:cs="Times New Roman"/>
                <w:b/>
                <w:lang w:eastAsia="ar-SA"/>
              </w:rPr>
              <w:t>Каталожний номер запчастин</w:t>
            </w:r>
          </w:p>
        </w:tc>
        <w:tc>
          <w:tcPr>
            <w:tcW w:w="1363" w:type="dxa"/>
            <w:shd w:val="clear" w:color="auto" w:fill="auto"/>
            <w:vAlign w:val="center"/>
          </w:tcPr>
          <w:p w14:paraId="26126564" w14:textId="77777777" w:rsidR="00E72844" w:rsidRPr="004269FD" w:rsidRDefault="00E72844" w:rsidP="003F0548">
            <w:pPr>
              <w:suppressAutoHyphens/>
              <w:jc w:val="center"/>
              <w:rPr>
                <w:rFonts w:ascii="Times New Roman" w:eastAsia="Times New Roman" w:hAnsi="Times New Roman" w:cs="Times New Roman"/>
                <w:b/>
                <w:lang w:eastAsia="ar-SA"/>
              </w:rPr>
            </w:pPr>
            <w:r w:rsidRPr="004269FD">
              <w:rPr>
                <w:rFonts w:ascii="Times New Roman" w:eastAsia="Times New Roman" w:hAnsi="Times New Roman" w:cs="Times New Roman"/>
                <w:b/>
                <w:lang w:eastAsia="ar-SA"/>
              </w:rPr>
              <w:t>Вартість послуги, грн. без ПДВ</w:t>
            </w:r>
          </w:p>
        </w:tc>
        <w:tc>
          <w:tcPr>
            <w:tcW w:w="1047" w:type="dxa"/>
            <w:gridSpan w:val="2"/>
            <w:vAlign w:val="center"/>
          </w:tcPr>
          <w:p w14:paraId="2AC86AB2" w14:textId="77777777" w:rsidR="00E72844" w:rsidRPr="004269FD" w:rsidRDefault="00E72844" w:rsidP="003F0548">
            <w:pPr>
              <w:suppressAutoHyphens/>
              <w:jc w:val="center"/>
              <w:rPr>
                <w:rFonts w:ascii="Times New Roman" w:eastAsia="Times New Roman" w:hAnsi="Times New Roman" w:cs="Times New Roman"/>
                <w:b/>
                <w:lang w:eastAsia="ar-SA"/>
              </w:rPr>
            </w:pPr>
            <w:r w:rsidRPr="004269FD">
              <w:rPr>
                <w:rFonts w:ascii="Times New Roman" w:eastAsia="Times New Roman" w:hAnsi="Times New Roman" w:cs="Times New Roman"/>
                <w:b/>
                <w:lang w:eastAsia="ar-SA"/>
              </w:rPr>
              <w:t>Загальна вартість запчастин та послуг  грн. без ПДВ</w:t>
            </w:r>
          </w:p>
        </w:tc>
      </w:tr>
      <w:tr w:rsidR="00E72844" w14:paraId="0F806E25" w14:textId="77777777" w:rsidTr="00E72844">
        <w:tc>
          <w:tcPr>
            <w:tcW w:w="879" w:type="dxa"/>
          </w:tcPr>
          <w:p w14:paraId="78A13E2E"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5CDB6A63" w14:textId="77777777" w:rsidR="00E72844" w:rsidRPr="00E61EB1" w:rsidRDefault="00E72844" w:rsidP="003F0548">
            <w:pPr>
              <w:rPr>
                <w:rFonts w:ascii="Times New Roman" w:hAnsi="Times New Roman" w:cs="Times New Roman"/>
                <w:sz w:val="24"/>
                <w:szCs w:val="24"/>
              </w:rPr>
            </w:pPr>
            <w:r>
              <w:rPr>
                <w:rFonts w:ascii="Times New Roman" w:hAnsi="Times New Roman" w:cs="Times New Roman"/>
                <w:sz w:val="24"/>
                <w:szCs w:val="24"/>
                <w:lang w:val="en-US"/>
              </w:rPr>
              <w:t>Заміна турбіни</w:t>
            </w:r>
          </w:p>
        </w:tc>
        <w:tc>
          <w:tcPr>
            <w:tcW w:w="1189" w:type="dxa"/>
          </w:tcPr>
          <w:p w14:paraId="688D4595" w14:textId="77777777" w:rsidR="00E72844" w:rsidRDefault="00E72844" w:rsidP="003F0548">
            <w:pPr>
              <w:jc w:val="both"/>
              <w:rPr>
                <w:rFonts w:ascii="Times New Roman" w:hAnsi="Times New Roman" w:cs="Times New Roman"/>
                <w:b/>
                <w:sz w:val="24"/>
                <w:szCs w:val="24"/>
              </w:rPr>
            </w:pPr>
          </w:p>
        </w:tc>
        <w:tc>
          <w:tcPr>
            <w:tcW w:w="1417" w:type="dxa"/>
          </w:tcPr>
          <w:p w14:paraId="0EB35B5E" w14:textId="77777777" w:rsidR="00E72844" w:rsidRDefault="00E72844" w:rsidP="003F0548">
            <w:pPr>
              <w:jc w:val="both"/>
              <w:rPr>
                <w:rFonts w:ascii="Times New Roman" w:hAnsi="Times New Roman" w:cs="Times New Roman"/>
                <w:b/>
                <w:sz w:val="24"/>
                <w:szCs w:val="24"/>
              </w:rPr>
            </w:pPr>
          </w:p>
        </w:tc>
        <w:tc>
          <w:tcPr>
            <w:tcW w:w="1276" w:type="dxa"/>
          </w:tcPr>
          <w:p w14:paraId="11C4F0C1" w14:textId="77777777" w:rsidR="00E72844" w:rsidRDefault="00E72844" w:rsidP="003F0548">
            <w:pPr>
              <w:jc w:val="both"/>
              <w:rPr>
                <w:rFonts w:ascii="Times New Roman" w:hAnsi="Times New Roman" w:cs="Times New Roman"/>
                <w:b/>
                <w:sz w:val="24"/>
                <w:szCs w:val="24"/>
              </w:rPr>
            </w:pPr>
          </w:p>
        </w:tc>
        <w:tc>
          <w:tcPr>
            <w:tcW w:w="1023" w:type="dxa"/>
          </w:tcPr>
          <w:p w14:paraId="4B54DA27" w14:textId="77777777" w:rsidR="00E72844" w:rsidRDefault="00E72844" w:rsidP="003F0548">
            <w:pPr>
              <w:jc w:val="both"/>
              <w:rPr>
                <w:rFonts w:ascii="Times New Roman" w:hAnsi="Times New Roman" w:cs="Times New Roman"/>
                <w:b/>
                <w:sz w:val="24"/>
                <w:szCs w:val="24"/>
              </w:rPr>
            </w:pPr>
          </w:p>
        </w:tc>
        <w:tc>
          <w:tcPr>
            <w:tcW w:w="1363" w:type="dxa"/>
          </w:tcPr>
          <w:p w14:paraId="1141F34C" w14:textId="77777777" w:rsidR="00E72844" w:rsidRDefault="00E72844" w:rsidP="003F0548">
            <w:pPr>
              <w:jc w:val="both"/>
              <w:rPr>
                <w:rFonts w:ascii="Times New Roman" w:hAnsi="Times New Roman" w:cs="Times New Roman"/>
                <w:b/>
                <w:sz w:val="24"/>
                <w:szCs w:val="24"/>
              </w:rPr>
            </w:pPr>
            <w:bookmarkStart w:id="7" w:name="_GoBack"/>
            <w:bookmarkEnd w:id="7"/>
          </w:p>
        </w:tc>
        <w:tc>
          <w:tcPr>
            <w:tcW w:w="1047" w:type="dxa"/>
            <w:gridSpan w:val="2"/>
          </w:tcPr>
          <w:p w14:paraId="2A1F5805" w14:textId="77777777" w:rsidR="00E72844" w:rsidRDefault="00E72844" w:rsidP="003F0548">
            <w:pPr>
              <w:jc w:val="both"/>
              <w:rPr>
                <w:rFonts w:ascii="Times New Roman" w:hAnsi="Times New Roman" w:cs="Times New Roman"/>
                <w:b/>
                <w:sz w:val="24"/>
                <w:szCs w:val="24"/>
              </w:rPr>
            </w:pPr>
          </w:p>
        </w:tc>
      </w:tr>
      <w:tr w:rsidR="00E72844" w14:paraId="19A09A5D" w14:textId="77777777" w:rsidTr="00E72844">
        <w:tc>
          <w:tcPr>
            <w:tcW w:w="879" w:type="dxa"/>
          </w:tcPr>
          <w:p w14:paraId="4D0E2901"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3347E19B" w14:textId="77777777" w:rsidR="00E72844" w:rsidRPr="006B292A" w:rsidRDefault="00E72844" w:rsidP="003F0548">
            <w:pPr>
              <w:rPr>
                <w:rFonts w:ascii="Times New Roman" w:hAnsi="Times New Roman" w:cs="Times New Roman"/>
                <w:sz w:val="24"/>
                <w:szCs w:val="24"/>
              </w:rPr>
            </w:pPr>
            <w:r>
              <w:rPr>
                <w:rFonts w:ascii="Times New Roman" w:hAnsi="Times New Roman" w:cs="Times New Roman"/>
                <w:sz w:val="24"/>
                <w:szCs w:val="24"/>
              </w:rPr>
              <w:t>Ремонт головки блоку циліндрів</w:t>
            </w:r>
          </w:p>
        </w:tc>
        <w:tc>
          <w:tcPr>
            <w:tcW w:w="1189" w:type="dxa"/>
          </w:tcPr>
          <w:p w14:paraId="67A6D3C5" w14:textId="77777777" w:rsidR="00E72844" w:rsidRDefault="00E72844" w:rsidP="003F0548">
            <w:pPr>
              <w:jc w:val="both"/>
              <w:rPr>
                <w:rFonts w:ascii="Times New Roman" w:hAnsi="Times New Roman" w:cs="Times New Roman"/>
                <w:b/>
                <w:sz w:val="24"/>
                <w:szCs w:val="24"/>
              </w:rPr>
            </w:pPr>
          </w:p>
        </w:tc>
        <w:tc>
          <w:tcPr>
            <w:tcW w:w="1417" w:type="dxa"/>
          </w:tcPr>
          <w:p w14:paraId="06170BF4" w14:textId="77777777" w:rsidR="00E72844" w:rsidRDefault="00E72844" w:rsidP="003F0548">
            <w:pPr>
              <w:jc w:val="both"/>
              <w:rPr>
                <w:rFonts w:ascii="Times New Roman" w:hAnsi="Times New Roman" w:cs="Times New Roman"/>
                <w:b/>
                <w:sz w:val="24"/>
                <w:szCs w:val="24"/>
              </w:rPr>
            </w:pPr>
          </w:p>
        </w:tc>
        <w:tc>
          <w:tcPr>
            <w:tcW w:w="1276" w:type="dxa"/>
          </w:tcPr>
          <w:p w14:paraId="3D324BE2" w14:textId="77777777" w:rsidR="00E72844" w:rsidRDefault="00E72844" w:rsidP="003F0548">
            <w:pPr>
              <w:jc w:val="both"/>
              <w:rPr>
                <w:rFonts w:ascii="Times New Roman" w:hAnsi="Times New Roman" w:cs="Times New Roman"/>
                <w:b/>
                <w:sz w:val="24"/>
                <w:szCs w:val="24"/>
              </w:rPr>
            </w:pPr>
          </w:p>
        </w:tc>
        <w:tc>
          <w:tcPr>
            <w:tcW w:w="1023" w:type="dxa"/>
          </w:tcPr>
          <w:p w14:paraId="4D95F870" w14:textId="77777777" w:rsidR="00E72844" w:rsidRDefault="00E72844" w:rsidP="003F0548">
            <w:pPr>
              <w:jc w:val="both"/>
              <w:rPr>
                <w:rFonts w:ascii="Times New Roman" w:hAnsi="Times New Roman" w:cs="Times New Roman"/>
                <w:b/>
                <w:sz w:val="24"/>
                <w:szCs w:val="24"/>
              </w:rPr>
            </w:pPr>
          </w:p>
        </w:tc>
        <w:tc>
          <w:tcPr>
            <w:tcW w:w="1363" w:type="dxa"/>
          </w:tcPr>
          <w:p w14:paraId="0D68CAA4" w14:textId="77777777" w:rsidR="00E72844" w:rsidRDefault="00E72844" w:rsidP="003F0548">
            <w:pPr>
              <w:jc w:val="both"/>
              <w:rPr>
                <w:rFonts w:ascii="Times New Roman" w:hAnsi="Times New Roman" w:cs="Times New Roman"/>
                <w:b/>
                <w:sz w:val="24"/>
                <w:szCs w:val="24"/>
              </w:rPr>
            </w:pPr>
          </w:p>
        </w:tc>
        <w:tc>
          <w:tcPr>
            <w:tcW w:w="1047" w:type="dxa"/>
            <w:gridSpan w:val="2"/>
          </w:tcPr>
          <w:p w14:paraId="0832A2EA" w14:textId="77777777" w:rsidR="00E72844" w:rsidRDefault="00E72844" w:rsidP="003F0548">
            <w:pPr>
              <w:jc w:val="both"/>
              <w:rPr>
                <w:rFonts w:ascii="Times New Roman" w:hAnsi="Times New Roman" w:cs="Times New Roman"/>
                <w:b/>
                <w:sz w:val="24"/>
                <w:szCs w:val="24"/>
              </w:rPr>
            </w:pPr>
          </w:p>
        </w:tc>
      </w:tr>
      <w:tr w:rsidR="00E72844" w14:paraId="270CB95B" w14:textId="77777777" w:rsidTr="00E72844">
        <w:tc>
          <w:tcPr>
            <w:tcW w:w="879" w:type="dxa"/>
          </w:tcPr>
          <w:p w14:paraId="414EB3D5"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0355C840" w14:textId="77777777" w:rsidR="00E72844" w:rsidRPr="006B292A" w:rsidRDefault="00E72844" w:rsidP="003F0548">
            <w:pPr>
              <w:rPr>
                <w:rFonts w:ascii="Times New Roman" w:hAnsi="Times New Roman" w:cs="Times New Roman"/>
                <w:sz w:val="24"/>
                <w:szCs w:val="24"/>
              </w:rPr>
            </w:pPr>
            <w:r>
              <w:rPr>
                <w:rFonts w:ascii="Times New Roman" w:hAnsi="Times New Roman" w:cs="Times New Roman"/>
                <w:sz w:val="24"/>
                <w:szCs w:val="24"/>
              </w:rPr>
              <w:t>Заміна комплекту клапанів</w:t>
            </w:r>
          </w:p>
        </w:tc>
        <w:tc>
          <w:tcPr>
            <w:tcW w:w="1189" w:type="dxa"/>
          </w:tcPr>
          <w:p w14:paraId="0CEFF8E0" w14:textId="77777777" w:rsidR="00E72844" w:rsidRDefault="00E72844" w:rsidP="003F0548">
            <w:pPr>
              <w:jc w:val="both"/>
              <w:rPr>
                <w:rFonts w:ascii="Times New Roman" w:hAnsi="Times New Roman" w:cs="Times New Roman"/>
                <w:b/>
                <w:sz w:val="24"/>
                <w:szCs w:val="24"/>
              </w:rPr>
            </w:pPr>
          </w:p>
        </w:tc>
        <w:tc>
          <w:tcPr>
            <w:tcW w:w="1417" w:type="dxa"/>
          </w:tcPr>
          <w:p w14:paraId="6D2B50A3" w14:textId="77777777" w:rsidR="00E72844" w:rsidRDefault="00E72844" w:rsidP="003F0548">
            <w:pPr>
              <w:jc w:val="both"/>
              <w:rPr>
                <w:rFonts w:ascii="Times New Roman" w:hAnsi="Times New Roman" w:cs="Times New Roman"/>
                <w:b/>
                <w:sz w:val="24"/>
                <w:szCs w:val="24"/>
              </w:rPr>
            </w:pPr>
          </w:p>
        </w:tc>
        <w:tc>
          <w:tcPr>
            <w:tcW w:w="1276" w:type="dxa"/>
          </w:tcPr>
          <w:p w14:paraId="31C15DF3" w14:textId="77777777" w:rsidR="00E72844" w:rsidRDefault="00E72844" w:rsidP="003F0548">
            <w:pPr>
              <w:jc w:val="both"/>
              <w:rPr>
                <w:rFonts w:ascii="Times New Roman" w:hAnsi="Times New Roman" w:cs="Times New Roman"/>
                <w:b/>
                <w:sz w:val="24"/>
                <w:szCs w:val="24"/>
              </w:rPr>
            </w:pPr>
          </w:p>
        </w:tc>
        <w:tc>
          <w:tcPr>
            <w:tcW w:w="1023" w:type="dxa"/>
          </w:tcPr>
          <w:p w14:paraId="623DF9EF" w14:textId="77777777" w:rsidR="00E72844" w:rsidRDefault="00E72844" w:rsidP="003F0548">
            <w:pPr>
              <w:jc w:val="both"/>
              <w:rPr>
                <w:rFonts w:ascii="Times New Roman" w:hAnsi="Times New Roman" w:cs="Times New Roman"/>
                <w:b/>
                <w:sz w:val="24"/>
                <w:szCs w:val="24"/>
              </w:rPr>
            </w:pPr>
          </w:p>
        </w:tc>
        <w:tc>
          <w:tcPr>
            <w:tcW w:w="1363" w:type="dxa"/>
          </w:tcPr>
          <w:p w14:paraId="7EAA2AAD" w14:textId="77777777" w:rsidR="00E72844" w:rsidRDefault="00E72844" w:rsidP="003F0548">
            <w:pPr>
              <w:jc w:val="both"/>
              <w:rPr>
                <w:rFonts w:ascii="Times New Roman" w:hAnsi="Times New Roman" w:cs="Times New Roman"/>
                <w:b/>
                <w:sz w:val="24"/>
                <w:szCs w:val="24"/>
              </w:rPr>
            </w:pPr>
          </w:p>
        </w:tc>
        <w:tc>
          <w:tcPr>
            <w:tcW w:w="1047" w:type="dxa"/>
            <w:gridSpan w:val="2"/>
          </w:tcPr>
          <w:p w14:paraId="61341B6B" w14:textId="77777777" w:rsidR="00E72844" w:rsidRDefault="00E72844" w:rsidP="003F0548">
            <w:pPr>
              <w:jc w:val="both"/>
              <w:rPr>
                <w:rFonts w:ascii="Times New Roman" w:hAnsi="Times New Roman" w:cs="Times New Roman"/>
                <w:b/>
                <w:sz w:val="24"/>
                <w:szCs w:val="24"/>
              </w:rPr>
            </w:pPr>
          </w:p>
        </w:tc>
      </w:tr>
      <w:tr w:rsidR="00E72844" w14:paraId="148728DA" w14:textId="77777777" w:rsidTr="00E72844">
        <w:tc>
          <w:tcPr>
            <w:tcW w:w="879" w:type="dxa"/>
          </w:tcPr>
          <w:p w14:paraId="2E2F9799"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72D7A39E" w14:textId="77777777" w:rsidR="00E72844" w:rsidRPr="006B292A" w:rsidRDefault="00E72844" w:rsidP="003F0548">
            <w:pPr>
              <w:rPr>
                <w:rFonts w:ascii="Times New Roman" w:hAnsi="Times New Roman" w:cs="Times New Roman"/>
                <w:sz w:val="24"/>
                <w:szCs w:val="24"/>
              </w:rPr>
            </w:pPr>
            <w:r>
              <w:rPr>
                <w:rFonts w:ascii="Times New Roman" w:hAnsi="Times New Roman" w:cs="Times New Roman"/>
                <w:sz w:val="24"/>
                <w:szCs w:val="24"/>
              </w:rPr>
              <w:t>Заміна комплекту сальників клапанів</w:t>
            </w:r>
          </w:p>
        </w:tc>
        <w:tc>
          <w:tcPr>
            <w:tcW w:w="1189" w:type="dxa"/>
          </w:tcPr>
          <w:p w14:paraId="55ACD8D6" w14:textId="77777777" w:rsidR="00E72844" w:rsidRDefault="00E72844" w:rsidP="003F0548">
            <w:pPr>
              <w:jc w:val="both"/>
              <w:rPr>
                <w:rFonts w:ascii="Times New Roman" w:hAnsi="Times New Roman" w:cs="Times New Roman"/>
                <w:b/>
                <w:sz w:val="24"/>
                <w:szCs w:val="24"/>
              </w:rPr>
            </w:pPr>
          </w:p>
        </w:tc>
        <w:tc>
          <w:tcPr>
            <w:tcW w:w="1417" w:type="dxa"/>
          </w:tcPr>
          <w:p w14:paraId="63076E12" w14:textId="77777777" w:rsidR="00E72844" w:rsidRDefault="00E72844" w:rsidP="003F0548">
            <w:pPr>
              <w:jc w:val="both"/>
              <w:rPr>
                <w:rFonts w:ascii="Times New Roman" w:hAnsi="Times New Roman" w:cs="Times New Roman"/>
                <w:b/>
                <w:sz w:val="24"/>
                <w:szCs w:val="24"/>
              </w:rPr>
            </w:pPr>
          </w:p>
        </w:tc>
        <w:tc>
          <w:tcPr>
            <w:tcW w:w="1276" w:type="dxa"/>
          </w:tcPr>
          <w:p w14:paraId="2F168AB2" w14:textId="77777777" w:rsidR="00E72844" w:rsidRDefault="00E72844" w:rsidP="003F0548">
            <w:pPr>
              <w:jc w:val="both"/>
              <w:rPr>
                <w:rFonts w:ascii="Times New Roman" w:hAnsi="Times New Roman" w:cs="Times New Roman"/>
                <w:b/>
                <w:sz w:val="24"/>
                <w:szCs w:val="24"/>
              </w:rPr>
            </w:pPr>
          </w:p>
        </w:tc>
        <w:tc>
          <w:tcPr>
            <w:tcW w:w="1023" w:type="dxa"/>
          </w:tcPr>
          <w:p w14:paraId="0ED3A68F" w14:textId="77777777" w:rsidR="00E72844" w:rsidRDefault="00E72844" w:rsidP="003F0548">
            <w:pPr>
              <w:jc w:val="both"/>
              <w:rPr>
                <w:rFonts w:ascii="Times New Roman" w:hAnsi="Times New Roman" w:cs="Times New Roman"/>
                <w:b/>
                <w:sz w:val="24"/>
                <w:szCs w:val="24"/>
              </w:rPr>
            </w:pPr>
          </w:p>
        </w:tc>
        <w:tc>
          <w:tcPr>
            <w:tcW w:w="1363" w:type="dxa"/>
          </w:tcPr>
          <w:p w14:paraId="68A971E5" w14:textId="77777777" w:rsidR="00E72844" w:rsidRDefault="00E72844" w:rsidP="003F0548">
            <w:pPr>
              <w:jc w:val="both"/>
              <w:rPr>
                <w:rFonts w:ascii="Times New Roman" w:hAnsi="Times New Roman" w:cs="Times New Roman"/>
                <w:b/>
                <w:sz w:val="24"/>
                <w:szCs w:val="24"/>
              </w:rPr>
            </w:pPr>
          </w:p>
        </w:tc>
        <w:tc>
          <w:tcPr>
            <w:tcW w:w="1047" w:type="dxa"/>
            <w:gridSpan w:val="2"/>
          </w:tcPr>
          <w:p w14:paraId="47835600" w14:textId="77777777" w:rsidR="00E72844" w:rsidRDefault="00E72844" w:rsidP="003F0548">
            <w:pPr>
              <w:jc w:val="both"/>
              <w:rPr>
                <w:rFonts w:ascii="Times New Roman" w:hAnsi="Times New Roman" w:cs="Times New Roman"/>
                <w:b/>
                <w:sz w:val="24"/>
                <w:szCs w:val="24"/>
              </w:rPr>
            </w:pPr>
          </w:p>
        </w:tc>
      </w:tr>
      <w:tr w:rsidR="00E72844" w14:paraId="4BA70AD9" w14:textId="77777777" w:rsidTr="00E72844">
        <w:tc>
          <w:tcPr>
            <w:tcW w:w="879" w:type="dxa"/>
          </w:tcPr>
          <w:p w14:paraId="2036E76C"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7558E4DC" w14:textId="77777777" w:rsidR="00E72844" w:rsidRPr="006B292A" w:rsidRDefault="00E72844" w:rsidP="003F0548">
            <w:pPr>
              <w:rPr>
                <w:rFonts w:ascii="Times New Roman" w:hAnsi="Times New Roman" w:cs="Times New Roman"/>
                <w:sz w:val="24"/>
                <w:szCs w:val="24"/>
              </w:rPr>
            </w:pPr>
            <w:r>
              <w:rPr>
                <w:rFonts w:ascii="Times New Roman" w:hAnsi="Times New Roman" w:cs="Times New Roman"/>
                <w:sz w:val="24"/>
                <w:szCs w:val="24"/>
              </w:rPr>
              <w:t>Заміна комплекту поршневих кілець</w:t>
            </w:r>
          </w:p>
        </w:tc>
        <w:tc>
          <w:tcPr>
            <w:tcW w:w="1189" w:type="dxa"/>
          </w:tcPr>
          <w:p w14:paraId="6E50C8D3" w14:textId="77777777" w:rsidR="00E72844" w:rsidRDefault="00E72844" w:rsidP="003F0548">
            <w:pPr>
              <w:jc w:val="both"/>
              <w:rPr>
                <w:rFonts w:ascii="Times New Roman" w:hAnsi="Times New Roman" w:cs="Times New Roman"/>
                <w:b/>
                <w:sz w:val="24"/>
                <w:szCs w:val="24"/>
              </w:rPr>
            </w:pPr>
          </w:p>
        </w:tc>
        <w:tc>
          <w:tcPr>
            <w:tcW w:w="1417" w:type="dxa"/>
          </w:tcPr>
          <w:p w14:paraId="2C353F10" w14:textId="77777777" w:rsidR="00E72844" w:rsidRDefault="00E72844" w:rsidP="003F0548">
            <w:pPr>
              <w:jc w:val="both"/>
              <w:rPr>
                <w:rFonts w:ascii="Times New Roman" w:hAnsi="Times New Roman" w:cs="Times New Roman"/>
                <w:b/>
                <w:sz w:val="24"/>
                <w:szCs w:val="24"/>
              </w:rPr>
            </w:pPr>
          </w:p>
        </w:tc>
        <w:tc>
          <w:tcPr>
            <w:tcW w:w="1276" w:type="dxa"/>
          </w:tcPr>
          <w:p w14:paraId="11C11EC2" w14:textId="77777777" w:rsidR="00E72844" w:rsidRDefault="00E72844" w:rsidP="003F0548">
            <w:pPr>
              <w:jc w:val="both"/>
              <w:rPr>
                <w:rFonts w:ascii="Times New Roman" w:hAnsi="Times New Roman" w:cs="Times New Roman"/>
                <w:b/>
                <w:sz w:val="24"/>
                <w:szCs w:val="24"/>
              </w:rPr>
            </w:pPr>
          </w:p>
        </w:tc>
        <w:tc>
          <w:tcPr>
            <w:tcW w:w="1023" w:type="dxa"/>
          </w:tcPr>
          <w:p w14:paraId="38C5B911" w14:textId="77777777" w:rsidR="00E72844" w:rsidRDefault="00E72844" w:rsidP="003F0548">
            <w:pPr>
              <w:jc w:val="both"/>
              <w:rPr>
                <w:rFonts w:ascii="Times New Roman" w:hAnsi="Times New Roman" w:cs="Times New Roman"/>
                <w:b/>
                <w:sz w:val="24"/>
                <w:szCs w:val="24"/>
              </w:rPr>
            </w:pPr>
          </w:p>
        </w:tc>
        <w:tc>
          <w:tcPr>
            <w:tcW w:w="1363" w:type="dxa"/>
          </w:tcPr>
          <w:p w14:paraId="14598AAF" w14:textId="77777777" w:rsidR="00E72844" w:rsidRDefault="00E72844" w:rsidP="003F0548">
            <w:pPr>
              <w:jc w:val="both"/>
              <w:rPr>
                <w:rFonts w:ascii="Times New Roman" w:hAnsi="Times New Roman" w:cs="Times New Roman"/>
                <w:b/>
                <w:sz w:val="24"/>
                <w:szCs w:val="24"/>
              </w:rPr>
            </w:pPr>
          </w:p>
        </w:tc>
        <w:tc>
          <w:tcPr>
            <w:tcW w:w="1047" w:type="dxa"/>
            <w:gridSpan w:val="2"/>
          </w:tcPr>
          <w:p w14:paraId="4A2A1651" w14:textId="77777777" w:rsidR="00E72844" w:rsidRDefault="00E72844" w:rsidP="003F0548">
            <w:pPr>
              <w:jc w:val="both"/>
              <w:rPr>
                <w:rFonts w:ascii="Times New Roman" w:hAnsi="Times New Roman" w:cs="Times New Roman"/>
                <w:b/>
                <w:sz w:val="24"/>
                <w:szCs w:val="24"/>
              </w:rPr>
            </w:pPr>
          </w:p>
        </w:tc>
      </w:tr>
      <w:tr w:rsidR="00E72844" w14:paraId="495987C4" w14:textId="77777777" w:rsidTr="00E72844">
        <w:tc>
          <w:tcPr>
            <w:tcW w:w="879" w:type="dxa"/>
          </w:tcPr>
          <w:p w14:paraId="62581679"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68631285" w14:textId="77777777" w:rsidR="00E72844" w:rsidRPr="006B292A" w:rsidRDefault="00E72844" w:rsidP="003F0548">
            <w:pPr>
              <w:rPr>
                <w:rFonts w:ascii="Times New Roman" w:hAnsi="Times New Roman" w:cs="Times New Roman"/>
                <w:sz w:val="24"/>
                <w:szCs w:val="24"/>
              </w:rPr>
            </w:pPr>
            <w:r>
              <w:rPr>
                <w:rFonts w:ascii="Times New Roman" w:hAnsi="Times New Roman" w:cs="Times New Roman"/>
                <w:sz w:val="24"/>
                <w:szCs w:val="24"/>
              </w:rPr>
              <w:t>Заміна комплекту шатунних вкладишів</w:t>
            </w:r>
          </w:p>
        </w:tc>
        <w:tc>
          <w:tcPr>
            <w:tcW w:w="1189" w:type="dxa"/>
          </w:tcPr>
          <w:p w14:paraId="3BCA6E1B" w14:textId="77777777" w:rsidR="00E72844" w:rsidRDefault="00E72844" w:rsidP="003F0548">
            <w:pPr>
              <w:jc w:val="both"/>
              <w:rPr>
                <w:rFonts w:ascii="Times New Roman" w:hAnsi="Times New Roman" w:cs="Times New Roman"/>
                <w:b/>
                <w:sz w:val="24"/>
                <w:szCs w:val="24"/>
              </w:rPr>
            </w:pPr>
          </w:p>
        </w:tc>
        <w:tc>
          <w:tcPr>
            <w:tcW w:w="1417" w:type="dxa"/>
          </w:tcPr>
          <w:p w14:paraId="5FEEC9F7" w14:textId="77777777" w:rsidR="00E72844" w:rsidRDefault="00E72844" w:rsidP="003F0548">
            <w:pPr>
              <w:jc w:val="both"/>
              <w:rPr>
                <w:rFonts w:ascii="Times New Roman" w:hAnsi="Times New Roman" w:cs="Times New Roman"/>
                <w:b/>
                <w:sz w:val="24"/>
                <w:szCs w:val="24"/>
              </w:rPr>
            </w:pPr>
          </w:p>
        </w:tc>
        <w:tc>
          <w:tcPr>
            <w:tcW w:w="1276" w:type="dxa"/>
          </w:tcPr>
          <w:p w14:paraId="66C6DF7F" w14:textId="77777777" w:rsidR="00E72844" w:rsidRDefault="00E72844" w:rsidP="003F0548">
            <w:pPr>
              <w:jc w:val="both"/>
              <w:rPr>
                <w:rFonts w:ascii="Times New Roman" w:hAnsi="Times New Roman" w:cs="Times New Roman"/>
                <w:b/>
                <w:sz w:val="24"/>
                <w:szCs w:val="24"/>
              </w:rPr>
            </w:pPr>
          </w:p>
        </w:tc>
        <w:tc>
          <w:tcPr>
            <w:tcW w:w="1023" w:type="dxa"/>
          </w:tcPr>
          <w:p w14:paraId="7678F203" w14:textId="77777777" w:rsidR="00E72844" w:rsidRDefault="00E72844" w:rsidP="003F0548">
            <w:pPr>
              <w:jc w:val="both"/>
              <w:rPr>
                <w:rFonts w:ascii="Times New Roman" w:hAnsi="Times New Roman" w:cs="Times New Roman"/>
                <w:b/>
                <w:sz w:val="24"/>
                <w:szCs w:val="24"/>
              </w:rPr>
            </w:pPr>
          </w:p>
        </w:tc>
        <w:tc>
          <w:tcPr>
            <w:tcW w:w="1363" w:type="dxa"/>
          </w:tcPr>
          <w:p w14:paraId="18E945FE" w14:textId="77777777" w:rsidR="00E72844" w:rsidRDefault="00E72844" w:rsidP="003F0548">
            <w:pPr>
              <w:jc w:val="both"/>
              <w:rPr>
                <w:rFonts w:ascii="Times New Roman" w:hAnsi="Times New Roman" w:cs="Times New Roman"/>
                <w:b/>
                <w:sz w:val="24"/>
                <w:szCs w:val="24"/>
              </w:rPr>
            </w:pPr>
          </w:p>
        </w:tc>
        <w:tc>
          <w:tcPr>
            <w:tcW w:w="1047" w:type="dxa"/>
            <w:gridSpan w:val="2"/>
          </w:tcPr>
          <w:p w14:paraId="482EE023" w14:textId="77777777" w:rsidR="00E72844" w:rsidRDefault="00E72844" w:rsidP="003F0548">
            <w:pPr>
              <w:jc w:val="both"/>
              <w:rPr>
                <w:rFonts w:ascii="Times New Roman" w:hAnsi="Times New Roman" w:cs="Times New Roman"/>
                <w:b/>
                <w:sz w:val="24"/>
                <w:szCs w:val="24"/>
              </w:rPr>
            </w:pPr>
          </w:p>
        </w:tc>
      </w:tr>
      <w:tr w:rsidR="00E72844" w14:paraId="4793F6B9" w14:textId="77777777" w:rsidTr="00E72844">
        <w:tc>
          <w:tcPr>
            <w:tcW w:w="879" w:type="dxa"/>
          </w:tcPr>
          <w:p w14:paraId="0ABA3702"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24DD022C" w14:textId="77777777" w:rsidR="00E72844" w:rsidRPr="006B292A" w:rsidRDefault="00E72844" w:rsidP="003F0548">
            <w:pPr>
              <w:rPr>
                <w:rFonts w:ascii="Times New Roman" w:hAnsi="Times New Roman" w:cs="Times New Roman"/>
                <w:sz w:val="24"/>
                <w:szCs w:val="24"/>
              </w:rPr>
            </w:pPr>
            <w:r>
              <w:rPr>
                <w:rFonts w:ascii="Times New Roman" w:hAnsi="Times New Roman" w:cs="Times New Roman"/>
                <w:sz w:val="24"/>
                <w:szCs w:val="24"/>
              </w:rPr>
              <w:t>Заміна комплекту корінних вкладишів</w:t>
            </w:r>
          </w:p>
        </w:tc>
        <w:tc>
          <w:tcPr>
            <w:tcW w:w="1189" w:type="dxa"/>
          </w:tcPr>
          <w:p w14:paraId="4DA91F89" w14:textId="77777777" w:rsidR="00E72844" w:rsidRDefault="00E72844" w:rsidP="003F0548">
            <w:pPr>
              <w:jc w:val="both"/>
              <w:rPr>
                <w:rFonts w:ascii="Times New Roman" w:hAnsi="Times New Roman" w:cs="Times New Roman"/>
                <w:b/>
                <w:sz w:val="24"/>
                <w:szCs w:val="24"/>
              </w:rPr>
            </w:pPr>
          </w:p>
        </w:tc>
        <w:tc>
          <w:tcPr>
            <w:tcW w:w="1417" w:type="dxa"/>
          </w:tcPr>
          <w:p w14:paraId="6C2BA488" w14:textId="77777777" w:rsidR="00E72844" w:rsidRDefault="00E72844" w:rsidP="003F0548">
            <w:pPr>
              <w:jc w:val="both"/>
              <w:rPr>
                <w:rFonts w:ascii="Times New Roman" w:hAnsi="Times New Roman" w:cs="Times New Roman"/>
                <w:b/>
                <w:sz w:val="24"/>
                <w:szCs w:val="24"/>
              </w:rPr>
            </w:pPr>
          </w:p>
        </w:tc>
        <w:tc>
          <w:tcPr>
            <w:tcW w:w="1276" w:type="dxa"/>
          </w:tcPr>
          <w:p w14:paraId="6153E679" w14:textId="77777777" w:rsidR="00E72844" w:rsidRDefault="00E72844" w:rsidP="003F0548">
            <w:pPr>
              <w:jc w:val="both"/>
              <w:rPr>
                <w:rFonts w:ascii="Times New Roman" w:hAnsi="Times New Roman" w:cs="Times New Roman"/>
                <w:b/>
                <w:sz w:val="24"/>
                <w:szCs w:val="24"/>
              </w:rPr>
            </w:pPr>
          </w:p>
        </w:tc>
        <w:tc>
          <w:tcPr>
            <w:tcW w:w="1023" w:type="dxa"/>
          </w:tcPr>
          <w:p w14:paraId="6ABD8D8A" w14:textId="77777777" w:rsidR="00E72844" w:rsidRDefault="00E72844" w:rsidP="003F0548">
            <w:pPr>
              <w:jc w:val="both"/>
              <w:rPr>
                <w:rFonts w:ascii="Times New Roman" w:hAnsi="Times New Roman" w:cs="Times New Roman"/>
                <w:b/>
                <w:sz w:val="24"/>
                <w:szCs w:val="24"/>
              </w:rPr>
            </w:pPr>
          </w:p>
        </w:tc>
        <w:tc>
          <w:tcPr>
            <w:tcW w:w="1363" w:type="dxa"/>
          </w:tcPr>
          <w:p w14:paraId="04EBE252" w14:textId="77777777" w:rsidR="00E72844" w:rsidRDefault="00E72844" w:rsidP="003F0548">
            <w:pPr>
              <w:jc w:val="both"/>
              <w:rPr>
                <w:rFonts w:ascii="Times New Roman" w:hAnsi="Times New Roman" w:cs="Times New Roman"/>
                <w:b/>
                <w:sz w:val="24"/>
                <w:szCs w:val="24"/>
              </w:rPr>
            </w:pPr>
          </w:p>
        </w:tc>
        <w:tc>
          <w:tcPr>
            <w:tcW w:w="1047" w:type="dxa"/>
            <w:gridSpan w:val="2"/>
          </w:tcPr>
          <w:p w14:paraId="68560894" w14:textId="77777777" w:rsidR="00E72844" w:rsidRDefault="00E72844" w:rsidP="003F0548">
            <w:pPr>
              <w:jc w:val="both"/>
              <w:rPr>
                <w:rFonts w:ascii="Times New Roman" w:hAnsi="Times New Roman" w:cs="Times New Roman"/>
                <w:b/>
                <w:sz w:val="24"/>
                <w:szCs w:val="24"/>
              </w:rPr>
            </w:pPr>
          </w:p>
        </w:tc>
      </w:tr>
      <w:tr w:rsidR="00E72844" w14:paraId="117E7F6F" w14:textId="77777777" w:rsidTr="00E72844">
        <w:tc>
          <w:tcPr>
            <w:tcW w:w="879" w:type="dxa"/>
          </w:tcPr>
          <w:p w14:paraId="126CF2B3"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78A7682F" w14:textId="77777777" w:rsidR="00E72844" w:rsidRPr="006B292A" w:rsidRDefault="00E72844" w:rsidP="003F0548">
            <w:pPr>
              <w:rPr>
                <w:rFonts w:ascii="Times New Roman" w:hAnsi="Times New Roman" w:cs="Times New Roman"/>
                <w:sz w:val="24"/>
                <w:szCs w:val="24"/>
              </w:rPr>
            </w:pPr>
            <w:r>
              <w:rPr>
                <w:rFonts w:ascii="Times New Roman" w:hAnsi="Times New Roman" w:cs="Times New Roman"/>
                <w:sz w:val="24"/>
                <w:szCs w:val="24"/>
              </w:rPr>
              <w:t>Шліфування головки блоку циліндрів</w:t>
            </w:r>
          </w:p>
        </w:tc>
        <w:tc>
          <w:tcPr>
            <w:tcW w:w="1189" w:type="dxa"/>
          </w:tcPr>
          <w:p w14:paraId="4954C4E4" w14:textId="77777777" w:rsidR="00E72844" w:rsidRDefault="00E72844" w:rsidP="003F0548">
            <w:pPr>
              <w:jc w:val="both"/>
              <w:rPr>
                <w:rFonts w:ascii="Times New Roman" w:hAnsi="Times New Roman" w:cs="Times New Roman"/>
                <w:b/>
                <w:sz w:val="24"/>
                <w:szCs w:val="24"/>
              </w:rPr>
            </w:pPr>
          </w:p>
        </w:tc>
        <w:tc>
          <w:tcPr>
            <w:tcW w:w="1417" w:type="dxa"/>
          </w:tcPr>
          <w:p w14:paraId="5412355F" w14:textId="77777777" w:rsidR="00E72844" w:rsidRDefault="00E72844" w:rsidP="003F0548">
            <w:pPr>
              <w:jc w:val="both"/>
              <w:rPr>
                <w:rFonts w:ascii="Times New Roman" w:hAnsi="Times New Roman" w:cs="Times New Roman"/>
                <w:b/>
                <w:sz w:val="24"/>
                <w:szCs w:val="24"/>
              </w:rPr>
            </w:pPr>
          </w:p>
        </w:tc>
        <w:tc>
          <w:tcPr>
            <w:tcW w:w="1276" w:type="dxa"/>
          </w:tcPr>
          <w:p w14:paraId="59964F7B" w14:textId="77777777" w:rsidR="00E72844" w:rsidRDefault="00E72844" w:rsidP="003F0548">
            <w:pPr>
              <w:jc w:val="both"/>
              <w:rPr>
                <w:rFonts w:ascii="Times New Roman" w:hAnsi="Times New Roman" w:cs="Times New Roman"/>
                <w:b/>
                <w:sz w:val="24"/>
                <w:szCs w:val="24"/>
              </w:rPr>
            </w:pPr>
          </w:p>
        </w:tc>
        <w:tc>
          <w:tcPr>
            <w:tcW w:w="1023" w:type="dxa"/>
          </w:tcPr>
          <w:p w14:paraId="767416F2" w14:textId="77777777" w:rsidR="00E72844" w:rsidRDefault="00E72844" w:rsidP="003F0548">
            <w:pPr>
              <w:jc w:val="both"/>
              <w:rPr>
                <w:rFonts w:ascii="Times New Roman" w:hAnsi="Times New Roman" w:cs="Times New Roman"/>
                <w:b/>
                <w:sz w:val="24"/>
                <w:szCs w:val="24"/>
              </w:rPr>
            </w:pPr>
          </w:p>
        </w:tc>
        <w:tc>
          <w:tcPr>
            <w:tcW w:w="1363" w:type="dxa"/>
          </w:tcPr>
          <w:p w14:paraId="5EA12604" w14:textId="77777777" w:rsidR="00E72844" w:rsidRDefault="00E72844" w:rsidP="003F0548">
            <w:pPr>
              <w:jc w:val="both"/>
              <w:rPr>
                <w:rFonts w:ascii="Times New Roman" w:hAnsi="Times New Roman" w:cs="Times New Roman"/>
                <w:b/>
                <w:sz w:val="24"/>
                <w:szCs w:val="24"/>
              </w:rPr>
            </w:pPr>
          </w:p>
        </w:tc>
        <w:tc>
          <w:tcPr>
            <w:tcW w:w="1047" w:type="dxa"/>
            <w:gridSpan w:val="2"/>
          </w:tcPr>
          <w:p w14:paraId="673C5B11" w14:textId="77777777" w:rsidR="00E72844" w:rsidRDefault="00E72844" w:rsidP="003F0548">
            <w:pPr>
              <w:jc w:val="both"/>
              <w:rPr>
                <w:rFonts w:ascii="Times New Roman" w:hAnsi="Times New Roman" w:cs="Times New Roman"/>
                <w:b/>
                <w:sz w:val="24"/>
                <w:szCs w:val="24"/>
              </w:rPr>
            </w:pPr>
          </w:p>
        </w:tc>
      </w:tr>
      <w:tr w:rsidR="00E72844" w:rsidRPr="00E61EB1" w14:paraId="74DEBD94" w14:textId="77777777" w:rsidTr="00E72844">
        <w:tc>
          <w:tcPr>
            <w:tcW w:w="879" w:type="dxa"/>
          </w:tcPr>
          <w:p w14:paraId="3CEB7A26"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30B9DFD1" w14:textId="77777777" w:rsidR="00E72844" w:rsidRDefault="00E72844" w:rsidP="003F0548">
            <w:pPr>
              <w:rPr>
                <w:rFonts w:ascii="Times New Roman" w:hAnsi="Times New Roman" w:cs="Times New Roman"/>
                <w:sz w:val="24"/>
                <w:szCs w:val="24"/>
              </w:rPr>
            </w:pPr>
            <w:r>
              <w:rPr>
                <w:rFonts w:ascii="Times New Roman" w:hAnsi="Times New Roman" w:cs="Times New Roman"/>
                <w:sz w:val="24"/>
                <w:szCs w:val="24"/>
              </w:rPr>
              <w:t>Заміна оливи двигуна внутрішнього згорання</w:t>
            </w:r>
          </w:p>
        </w:tc>
        <w:tc>
          <w:tcPr>
            <w:tcW w:w="1189" w:type="dxa"/>
          </w:tcPr>
          <w:p w14:paraId="65CC30DC" w14:textId="77777777" w:rsidR="00E72844" w:rsidRDefault="00E72844" w:rsidP="003F0548">
            <w:pPr>
              <w:jc w:val="both"/>
              <w:rPr>
                <w:rFonts w:ascii="Times New Roman" w:hAnsi="Times New Roman" w:cs="Times New Roman"/>
                <w:b/>
                <w:sz w:val="24"/>
                <w:szCs w:val="24"/>
              </w:rPr>
            </w:pPr>
          </w:p>
        </w:tc>
        <w:tc>
          <w:tcPr>
            <w:tcW w:w="1417" w:type="dxa"/>
          </w:tcPr>
          <w:p w14:paraId="657B6340" w14:textId="77777777" w:rsidR="00E72844" w:rsidRDefault="00E72844" w:rsidP="003F0548">
            <w:pPr>
              <w:jc w:val="both"/>
              <w:rPr>
                <w:rFonts w:ascii="Times New Roman" w:hAnsi="Times New Roman" w:cs="Times New Roman"/>
                <w:b/>
                <w:sz w:val="24"/>
                <w:szCs w:val="24"/>
              </w:rPr>
            </w:pPr>
          </w:p>
        </w:tc>
        <w:tc>
          <w:tcPr>
            <w:tcW w:w="1276" w:type="dxa"/>
          </w:tcPr>
          <w:p w14:paraId="499B8DB4" w14:textId="77777777" w:rsidR="00E72844" w:rsidRDefault="00E72844" w:rsidP="003F0548">
            <w:pPr>
              <w:jc w:val="both"/>
              <w:rPr>
                <w:rFonts w:ascii="Times New Roman" w:hAnsi="Times New Roman" w:cs="Times New Roman"/>
                <w:b/>
                <w:sz w:val="24"/>
                <w:szCs w:val="24"/>
              </w:rPr>
            </w:pPr>
          </w:p>
        </w:tc>
        <w:tc>
          <w:tcPr>
            <w:tcW w:w="1023" w:type="dxa"/>
          </w:tcPr>
          <w:p w14:paraId="6F980B1A" w14:textId="77777777" w:rsidR="00E72844" w:rsidRDefault="00E72844" w:rsidP="003F0548">
            <w:pPr>
              <w:jc w:val="both"/>
              <w:rPr>
                <w:rFonts w:ascii="Times New Roman" w:hAnsi="Times New Roman" w:cs="Times New Roman"/>
                <w:b/>
                <w:sz w:val="24"/>
                <w:szCs w:val="24"/>
              </w:rPr>
            </w:pPr>
          </w:p>
        </w:tc>
        <w:tc>
          <w:tcPr>
            <w:tcW w:w="1363" w:type="dxa"/>
          </w:tcPr>
          <w:p w14:paraId="36EEE70C" w14:textId="77777777" w:rsidR="00E72844" w:rsidRDefault="00E72844" w:rsidP="003F0548">
            <w:pPr>
              <w:jc w:val="both"/>
              <w:rPr>
                <w:rFonts w:ascii="Times New Roman" w:hAnsi="Times New Roman" w:cs="Times New Roman"/>
                <w:b/>
                <w:sz w:val="24"/>
                <w:szCs w:val="24"/>
              </w:rPr>
            </w:pPr>
          </w:p>
        </w:tc>
        <w:tc>
          <w:tcPr>
            <w:tcW w:w="1047" w:type="dxa"/>
            <w:gridSpan w:val="2"/>
          </w:tcPr>
          <w:p w14:paraId="062281EB" w14:textId="77777777" w:rsidR="00E72844" w:rsidRDefault="00E72844" w:rsidP="003F0548">
            <w:pPr>
              <w:jc w:val="both"/>
              <w:rPr>
                <w:rFonts w:ascii="Times New Roman" w:hAnsi="Times New Roman" w:cs="Times New Roman"/>
                <w:b/>
                <w:sz w:val="24"/>
                <w:szCs w:val="24"/>
              </w:rPr>
            </w:pPr>
          </w:p>
        </w:tc>
      </w:tr>
      <w:tr w:rsidR="00E72844" w:rsidRPr="00E61EB1" w14:paraId="6A110FE2" w14:textId="77777777" w:rsidTr="00E72844">
        <w:tc>
          <w:tcPr>
            <w:tcW w:w="879" w:type="dxa"/>
          </w:tcPr>
          <w:p w14:paraId="201BD339"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6683004E" w14:textId="77777777" w:rsidR="00E72844" w:rsidRDefault="00E72844" w:rsidP="003F0548">
            <w:pPr>
              <w:rPr>
                <w:rFonts w:ascii="Times New Roman" w:hAnsi="Times New Roman" w:cs="Times New Roman"/>
                <w:sz w:val="24"/>
                <w:szCs w:val="24"/>
              </w:rPr>
            </w:pPr>
            <w:r>
              <w:rPr>
                <w:rFonts w:ascii="Times New Roman" w:hAnsi="Times New Roman" w:cs="Times New Roman"/>
                <w:sz w:val="24"/>
                <w:szCs w:val="24"/>
              </w:rPr>
              <w:t>Заміна оливного фільтру</w:t>
            </w:r>
          </w:p>
        </w:tc>
        <w:tc>
          <w:tcPr>
            <w:tcW w:w="1189" w:type="dxa"/>
          </w:tcPr>
          <w:p w14:paraId="4AAF9EEE" w14:textId="77777777" w:rsidR="00E72844" w:rsidRDefault="00E72844" w:rsidP="003F0548">
            <w:pPr>
              <w:jc w:val="both"/>
              <w:rPr>
                <w:rFonts w:ascii="Times New Roman" w:hAnsi="Times New Roman" w:cs="Times New Roman"/>
                <w:b/>
                <w:sz w:val="24"/>
                <w:szCs w:val="24"/>
              </w:rPr>
            </w:pPr>
          </w:p>
        </w:tc>
        <w:tc>
          <w:tcPr>
            <w:tcW w:w="1417" w:type="dxa"/>
          </w:tcPr>
          <w:p w14:paraId="4E70EE32" w14:textId="77777777" w:rsidR="00E72844" w:rsidRDefault="00E72844" w:rsidP="003F0548">
            <w:pPr>
              <w:jc w:val="both"/>
              <w:rPr>
                <w:rFonts w:ascii="Times New Roman" w:hAnsi="Times New Roman" w:cs="Times New Roman"/>
                <w:b/>
                <w:sz w:val="24"/>
                <w:szCs w:val="24"/>
              </w:rPr>
            </w:pPr>
          </w:p>
        </w:tc>
        <w:tc>
          <w:tcPr>
            <w:tcW w:w="1276" w:type="dxa"/>
          </w:tcPr>
          <w:p w14:paraId="5D6ED6EB" w14:textId="77777777" w:rsidR="00E72844" w:rsidRDefault="00E72844" w:rsidP="003F0548">
            <w:pPr>
              <w:jc w:val="both"/>
              <w:rPr>
                <w:rFonts w:ascii="Times New Roman" w:hAnsi="Times New Roman" w:cs="Times New Roman"/>
                <w:b/>
                <w:sz w:val="24"/>
                <w:szCs w:val="24"/>
              </w:rPr>
            </w:pPr>
          </w:p>
        </w:tc>
        <w:tc>
          <w:tcPr>
            <w:tcW w:w="1023" w:type="dxa"/>
          </w:tcPr>
          <w:p w14:paraId="0037DEA6" w14:textId="77777777" w:rsidR="00E72844" w:rsidRDefault="00E72844" w:rsidP="003F0548">
            <w:pPr>
              <w:jc w:val="both"/>
              <w:rPr>
                <w:rFonts w:ascii="Times New Roman" w:hAnsi="Times New Roman" w:cs="Times New Roman"/>
                <w:b/>
                <w:sz w:val="24"/>
                <w:szCs w:val="24"/>
              </w:rPr>
            </w:pPr>
          </w:p>
        </w:tc>
        <w:tc>
          <w:tcPr>
            <w:tcW w:w="1363" w:type="dxa"/>
          </w:tcPr>
          <w:p w14:paraId="7A6541A5" w14:textId="77777777" w:rsidR="00E72844" w:rsidRDefault="00E72844" w:rsidP="003F0548">
            <w:pPr>
              <w:jc w:val="both"/>
              <w:rPr>
                <w:rFonts w:ascii="Times New Roman" w:hAnsi="Times New Roman" w:cs="Times New Roman"/>
                <w:b/>
                <w:sz w:val="24"/>
                <w:szCs w:val="24"/>
              </w:rPr>
            </w:pPr>
          </w:p>
        </w:tc>
        <w:tc>
          <w:tcPr>
            <w:tcW w:w="1047" w:type="dxa"/>
            <w:gridSpan w:val="2"/>
          </w:tcPr>
          <w:p w14:paraId="199451C1" w14:textId="77777777" w:rsidR="00E72844" w:rsidRDefault="00E72844" w:rsidP="003F0548">
            <w:pPr>
              <w:jc w:val="both"/>
              <w:rPr>
                <w:rFonts w:ascii="Times New Roman" w:hAnsi="Times New Roman" w:cs="Times New Roman"/>
                <w:b/>
                <w:sz w:val="24"/>
                <w:szCs w:val="24"/>
              </w:rPr>
            </w:pPr>
          </w:p>
        </w:tc>
      </w:tr>
      <w:tr w:rsidR="00E72844" w:rsidRPr="00E61EB1" w14:paraId="4AB5B137" w14:textId="77777777" w:rsidTr="00E72844">
        <w:tc>
          <w:tcPr>
            <w:tcW w:w="879" w:type="dxa"/>
          </w:tcPr>
          <w:p w14:paraId="2B9B48D7" w14:textId="77777777" w:rsidR="00E72844" w:rsidRPr="006B292A" w:rsidRDefault="00E72844" w:rsidP="00E72844">
            <w:pPr>
              <w:pStyle w:val="a5"/>
              <w:numPr>
                <w:ilvl w:val="0"/>
                <w:numId w:val="22"/>
              </w:numPr>
              <w:jc w:val="both"/>
              <w:rPr>
                <w:rFonts w:ascii="Times New Roman" w:hAnsi="Times New Roman" w:cs="Times New Roman"/>
                <w:sz w:val="24"/>
                <w:szCs w:val="24"/>
              </w:rPr>
            </w:pPr>
          </w:p>
        </w:tc>
        <w:tc>
          <w:tcPr>
            <w:tcW w:w="2580" w:type="dxa"/>
          </w:tcPr>
          <w:p w14:paraId="7F461D9E" w14:textId="77777777" w:rsidR="00E72844" w:rsidRDefault="00E72844" w:rsidP="003F0548">
            <w:pPr>
              <w:rPr>
                <w:rFonts w:ascii="Times New Roman" w:hAnsi="Times New Roman" w:cs="Times New Roman"/>
                <w:sz w:val="24"/>
                <w:szCs w:val="24"/>
              </w:rPr>
            </w:pPr>
            <w:r>
              <w:rPr>
                <w:rFonts w:ascii="Times New Roman" w:hAnsi="Times New Roman" w:cs="Times New Roman"/>
                <w:sz w:val="24"/>
                <w:szCs w:val="24"/>
              </w:rPr>
              <w:t>Комплект прокладок двигуна</w:t>
            </w:r>
          </w:p>
        </w:tc>
        <w:tc>
          <w:tcPr>
            <w:tcW w:w="1189" w:type="dxa"/>
          </w:tcPr>
          <w:p w14:paraId="3FEB3B79" w14:textId="77777777" w:rsidR="00E72844" w:rsidRDefault="00E72844" w:rsidP="003F0548">
            <w:pPr>
              <w:jc w:val="both"/>
              <w:rPr>
                <w:rFonts w:ascii="Times New Roman" w:hAnsi="Times New Roman" w:cs="Times New Roman"/>
                <w:b/>
                <w:sz w:val="24"/>
                <w:szCs w:val="24"/>
              </w:rPr>
            </w:pPr>
          </w:p>
        </w:tc>
        <w:tc>
          <w:tcPr>
            <w:tcW w:w="1417" w:type="dxa"/>
          </w:tcPr>
          <w:p w14:paraId="3E555B36" w14:textId="77777777" w:rsidR="00E72844" w:rsidRDefault="00E72844" w:rsidP="003F0548">
            <w:pPr>
              <w:jc w:val="both"/>
              <w:rPr>
                <w:rFonts w:ascii="Times New Roman" w:hAnsi="Times New Roman" w:cs="Times New Roman"/>
                <w:b/>
                <w:sz w:val="24"/>
                <w:szCs w:val="24"/>
              </w:rPr>
            </w:pPr>
          </w:p>
        </w:tc>
        <w:tc>
          <w:tcPr>
            <w:tcW w:w="1276" w:type="dxa"/>
          </w:tcPr>
          <w:p w14:paraId="6B9900AE" w14:textId="77777777" w:rsidR="00E72844" w:rsidRDefault="00E72844" w:rsidP="003F0548">
            <w:pPr>
              <w:jc w:val="both"/>
              <w:rPr>
                <w:rFonts w:ascii="Times New Roman" w:hAnsi="Times New Roman" w:cs="Times New Roman"/>
                <w:b/>
                <w:sz w:val="24"/>
                <w:szCs w:val="24"/>
              </w:rPr>
            </w:pPr>
          </w:p>
        </w:tc>
        <w:tc>
          <w:tcPr>
            <w:tcW w:w="1023" w:type="dxa"/>
          </w:tcPr>
          <w:p w14:paraId="67BBF9C9" w14:textId="77777777" w:rsidR="00E72844" w:rsidRDefault="00E72844" w:rsidP="003F0548">
            <w:pPr>
              <w:jc w:val="both"/>
              <w:rPr>
                <w:rFonts w:ascii="Times New Roman" w:hAnsi="Times New Roman" w:cs="Times New Roman"/>
                <w:b/>
                <w:sz w:val="24"/>
                <w:szCs w:val="24"/>
              </w:rPr>
            </w:pPr>
          </w:p>
        </w:tc>
        <w:tc>
          <w:tcPr>
            <w:tcW w:w="1363" w:type="dxa"/>
          </w:tcPr>
          <w:p w14:paraId="316A877C" w14:textId="77777777" w:rsidR="00E72844" w:rsidRDefault="00E72844" w:rsidP="003F0548">
            <w:pPr>
              <w:jc w:val="both"/>
              <w:rPr>
                <w:rFonts w:ascii="Times New Roman" w:hAnsi="Times New Roman" w:cs="Times New Roman"/>
                <w:b/>
                <w:sz w:val="24"/>
                <w:szCs w:val="24"/>
              </w:rPr>
            </w:pPr>
          </w:p>
        </w:tc>
        <w:tc>
          <w:tcPr>
            <w:tcW w:w="1047" w:type="dxa"/>
            <w:gridSpan w:val="2"/>
          </w:tcPr>
          <w:p w14:paraId="5EDC765D" w14:textId="77777777" w:rsidR="00E72844" w:rsidRDefault="00E72844" w:rsidP="003F0548">
            <w:pPr>
              <w:jc w:val="both"/>
              <w:rPr>
                <w:rFonts w:ascii="Times New Roman" w:hAnsi="Times New Roman" w:cs="Times New Roman"/>
                <w:b/>
                <w:sz w:val="24"/>
                <w:szCs w:val="24"/>
              </w:rPr>
            </w:pPr>
          </w:p>
        </w:tc>
      </w:tr>
      <w:tr w:rsidR="00E72844" w14:paraId="05B69BAF" w14:textId="77777777" w:rsidTr="00E72844">
        <w:tc>
          <w:tcPr>
            <w:tcW w:w="9742" w:type="dxa"/>
            <w:gridSpan w:val="8"/>
          </w:tcPr>
          <w:p w14:paraId="375C663E" w14:textId="77777777" w:rsidR="00E72844" w:rsidRPr="006B292A" w:rsidRDefault="00E72844" w:rsidP="003F0548">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Всього без ПДВ:</w:t>
            </w:r>
          </w:p>
        </w:tc>
        <w:tc>
          <w:tcPr>
            <w:tcW w:w="1032" w:type="dxa"/>
          </w:tcPr>
          <w:p w14:paraId="6ECB3B80" w14:textId="77777777" w:rsidR="00E72844" w:rsidRDefault="00E72844" w:rsidP="003F0548">
            <w:pPr>
              <w:jc w:val="both"/>
              <w:rPr>
                <w:rFonts w:ascii="Times New Roman" w:hAnsi="Times New Roman" w:cs="Times New Roman"/>
                <w:b/>
                <w:sz w:val="24"/>
                <w:szCs w:val="24"/>
              </w:rPr>
            </w:pPr>
          </w:p>
        </w:tc>
      </w:tr>
      <w:tr w:rsidR="00E72844" w14:paraId="30427AA4" w14:textId="77777777" w:rsidTr="00E72844">
        <w:tc>
          <w:tcPr>
            <w:tcW w:w="9742" w:type="dxa"/>
            <w:gridSpan w:val="8"/>
          </w:tcPr>
          <w:p w14:paraId="497F378E" w14:textId="77777777" w:rsidR="00E72844" w:rsidRPr="006B292A" w:rsidRDefault="00E72844" w:rsidP="003F0548">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lastRenderedPageBreak/>
              <w:t>ПДВ:</w:t>
            </w:r>
          </w:p>
        </w:tc>
        <w:tc>
          <w:tcPr>
            <w:tcW w:w="1032" w:type="dxa"/>
          </w:tcPr>
          <w:p w14:paraId="30831828" w14:textId="77777777" w:rsidR="00E72844" w:rsidRDefault="00E72844" w:rsidP="003F0548">
            <w:pPr>
              <w:jc w:val="both"/>
              <w:rPr>
                <w:rFonts w:ascii="Times New Roman" w:hAnsi="Times New Roman" w:cs="Times New Roman"/>
                <w:b/>
                <w:sz w:val="24"/>
                <w:szCs w:val="24"/>
              </w:rPr>
            </w:pPr>
          </w:p>
        </w:tc>
      </w:tr>
      <w:tr w:rsidR="00E72844" w14:paraId="7E1E6AA7" w14:textId="77777777" w:rsidTr="00E72844">
        <w:tc>
          <w:tcPr>
            <w:tcW w:w="9742" w:type="dxa"/>
            <w:gridSpan w:val="8"/>
          </w:tcPr>
          <w:p w14:paraId="0167C3B1" w14:textId="77777777" w:rsidR="00E72844" w:rsidRPr="006B292A" w:rsidRDefault="00E72844" w:rsidP="003F0548">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032" w:type="dxa"/>
          </w:tcPr>
          <w:p w14:paraId="04CB162D" w14:textId="77777777" w:rsidR="00E72844" w:rsidRDefault="00E72844" w:rsidP="003F0548">
            <w:pPr>
              <w:jc w:val="both"/>
              <w:rPr>
                <w:rFonts w:ascii="Times New Roman" w:hAnsi="Times New Roman" w:cs="Times New Roman"/>
                <w:b/>
                <w:sz w:val="24"/>
                <w:szCs w:val="24"/>
              </w:rPr>
            </w:pPr>
          </w:p>
        </w:tc>
      </w:tr>
    </w:tbl>
    <w:p w14:paraId="2B1ED5E8" w14:textId="484281BD" w:rsidR="00E72844" w:rsidRDefault="00E72844" w:rsidP="00E72844">
      <w:pPr>
        <w:suppressAutoHyphens/>
        <w:spacing w:after="0" w:line="240" w:lineRule="auto"/>
        <w:rPr>
          <w:rFonts w:ascii="Times New Roman" w:eastAsia="Times New Roman" w:hAnsi="Times New Roman" w:cs="Times New Roman"/>
          <w:b/>
          <w:sz w:val="24"/>
          <w:szCs w:val="24"/>
          <w:u w:val="single"/>
          <w:lang w:eastAsia="zh-CN"/>
        </w:rPr>
      </w:pPr>
    </w:p>
    <w:p w14:paraId="65CC6CAF" w14:textId="3987875F" w:rsidR="00E72844" w:rsidRDefault="00E72844" w:rsidP="00E72844">
      <w:pPr>
        <w:suppressAutoHyphens/>
        <w:spacing w:after="0" w:line="240" w:lineRule="auto"/>
        <w:rPr>
          <w:rFonts w:ascii="Times New Roman" w:eastAsia="Times New Roman" w:hAnsi="Times New Roman" w:cs="Times New Roman"/>
          <w:b/>
          <w:sz w:val="24"/>
          <w:szCs w:val="24"/>
          <w:u w:val="single"/>
          <w:lang w:eastAsia="zh-CN"/>
        </w:rPr>
      </w:pPr>
    </w:p>
    <w:p w14:paraId="6E725601" w14:textId="77777777" w:rsidR="00E72844" w:rsidRDefault="00E72844" w:rsidP="00E72844">
      <w:pPr>
        <w:suppressAutoHyphens/>
        <w:spacing w:after="0" w:line="240" w:lineRule="auto"/>
        <w:ind w:left="-567"/>
        <w:jc w:val="center"/>
        <w:rPr>
          <w:rFonts w:ascii="Times New Roman" w:eastAsia="Times New Roman" w:hAnsi="Times New Roman" w:cs="Times New Roman"/>
          <w:b/>
          <w:sz w:val="24"/>
          <w:szCs w:val="24"/>
          <w:u w:val="single"/>
          <w:lang w:eastAsia="zh-CN"/>
        </w:rPr>
      </w:pPr>
    </w:p>
    <w:p w14:paraId="335A5BCD" w14:textId="77777777" w:rsidR="00E72844" w:rsidRPr="00F9158A" w:rsidRDefault="00E72844" w:rsidP="00E72844">
      <w:pPr>
        <w:suppressAutoHyphens/>
        <w:spacing w:after="0" w:line="240" w:lineRule="auto"/>
        <w:ind w:firstLine="709"/>
        <w:jc w:val="center"/>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Т</w:t>
      </w:r>
      <w:r w:rsidRPr="00F9158A">
        <w:rPr>
          <w:rFonts w:ascii="Times New Roman" w:eastAsia="Times New Roman" w:hAnsi="Times New Roman" w:cs="Times New Roman"/>
          <w:b/>
          <w:sz w:val="24"/>
          <w:szCs w:val="24"/>
          <w:u w:val="single"/>
          <w:lang w:eastAsia="zh-CN"/>
        </w:rPr>
        <w:t>ехнічні вимоги до СТО (станції технічного обслуговування), щодо обслуговування автомобілів Замовника</w:t>
      </w:r>
    </w:p>
    <w:p w14:paraId="2C808FA1" w14:textId="77777777" w:rsidR="00E72844" w:rsidRPr="00F9158A" w:rsidRDefault="00E72844" w:rsidP="00E72844">
      <w:pPr>
        <w:numPr>
          <w:ilvl w:val="0"/>
          <w:numId w:val="18"/>
        </w:numPr>
        <w:tabs>
          <w:tab w:val="num" w:pos="568"/>
        </w:tabs>
        <w:suppressAutoHyphens/>
        <w:spacing w:before="120" w:after="0" w:line="240" w:lineRule="auto"/>
        <w:ind w:left="0" w:firstLine="0"/>
        <w:jc w:val="both"/>
        <w:rPr>
          <w:rFonts w:ascii="Times New Roman" w:eastAsia="Times New Roman" w:hAnsi="Times New Roman" w:cs="Times New Roman"/>
          <w:sz w:val="24"/>
          <w:szCs w:val="24"/>
          <w:lang w:eastAsia="uk-UA"/>
        </w:rPr>
      </w:pPr>
      <w:r w:rsidRPr="00F9158A">
        <w:rPr>
          <w:rFonts w:ascii="Times New Roman" w:eastAsia="Times New Roman" w:hAnsi="Times New Roman" w:cs="Times New Roman"/>
          <w:sz w:val="24"/>
          <w:szCs w:val="24"/>
          <w:lang w:eastAsia="uk-UA"/>
        </w:rPr>
        <w:t>Для скорочення експлуатаційних витрат та оптимізації робочого часу, СТО повинна розміщуватися в межах міста Києва на відстані надання послуг – не більше 20 км по маршруту переміщення транспортних засобів дорогами загального користування від місцезнаходження автомобілів Замовника (</w:t>
      </w:r>
      <w:bookmarkStart w:id="8" w:name="_Hlk138703902"/>
      <w:r w:rsidRPr="00F9158A">
        <w:rPr>
          <w:rFonts w:ascii="Times New Roman" w:eastAsia="Times New Roman" w:hAnsi="Times New Roman" w:cs="Times New Roman"/>
          <w:sz w:val="24"/>
          <w:szCs w:val="24"/>
          <w:lang w:eastAsia="uk-UA"/>
        </w:rPr>
        <w:t>м. Київ, вул. Залізничне шосе, 9</w:t>
      </w:r>
      <w:bookmarkEnd w:id="8"/>
      <w:r w:rsidRPr="00F9158A">
        <w:rPr>
          <w:rFonts w:ascii="Times New Roman" w:eastAsia="Times New Roman" w:hAnsi="Times New Roman" w:cs="Times New Roman"/>
          <w:sz w:val="24"/>
          <w:szCs w:val="24"/>
          <w:lang w:eastAsia="uk-UA"/>
        </w:rPr>
        <w:t>) та мати зручні прямолінійні під’їзди (на підтвердження надати довідку із планом-схемою проїзду, а також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14:paraId="5B12EA41" w14:textId="77777777" w:rsidR="00E72844" w:rsidRPr="00F9158A" w:rsidRDefault="00E72844" w:rsidP="00E72844">
      <w:pPr>
        <w:widowControl w:val="0"/>
        <w:numPr>
          <w:ilvl w:val="0"/>
          <w:numId w:val="18"/>
        </w:numPr>
        <w:tabs>
          <w:tab w:val="num" w:pos="644"/>
        </w:tabs>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napToGrid w:val="0"/>
          <w:sz w:val="24"/>
          <w:szCs w:val="24"/>
          <w:lang w:eastAsia="ru-RU"/>
        </w:rPr>
        <w:t xml:space="preserve">СТО повинна мати можливість за вимогою Замовника організувати  виїзд групи спеціалістів  для надання технічної допомоги поза межами СТО, режим роботи СТО повинен бути – без вихідних, можливість надання послуг цілодобово. </w:t>
      </w:r>
    </w:p>
    <w:p w14:paraId="7FB1A67C" w14:textId="77777777" w:rsidR="00E72844" w:rsidRPr="00F9158A" w:rsidRDefault="00E72844" w:rsidP="00E72844">
      <w:pPr>
        <w:widowControl w:val="0"/>
        <w:numPr>
          <w:ilvl w:val="0"/>
          <w:numId w:val="18"/>
        </w:numPr>
        <w:tabs>
          <w:tab w:val="num" w:pos="568"/>
        </w:tabs>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napToGrid w:val="0"/>
          <w:sz w:val="24"/>
          <w:szCs w:val="24"/>
          <w:lang w:eastAsia="ru-RU"/>
        </w:rPr>
        <w:t xml:space="preserve">З метою забезпечення надання повного спектру послуг з ремонту та технічного обслуговування автомобілів за адресою Учасника, СТО Учасника повинна відповідати нижче вказаним  вимогам Замовника та </w:t>
      </w:r>
      <w:r w:rsidRPr="00F9158A">
        <w:rPr>
          <w:rFonts w:ascii="Times New Roman" w:eastAsia="Times New Roman" w:hAnsi="Times New Roman" w:cs="Times New Roman"/>
          <w:bCs/>
          <w:snapToGrid w:val="0"/>
          <w:sz w:val="24"/>
          <w:szCs w:val="24"/>
          <w:lang w:eastAsia="ru-RU"/>
        </w:rPr>
        <w:t xml:space="preserve">мати власне обладнання для ремонту та обслуговування (Замовник має право додатково перевірити відповідність Учасника вказаним вимогам) </w:t>
      </w:r>
      <w:r w:rsidRPr="00F9158A">
        <w:rPr>
          <w:rFonts w:ascii="Times New Roman" w:eastAsia="Times New Roman" w:hAnsi="Times New Roman" w:cs="Times New Roman"/>
          <w:bCs/>
          <w:i/>
          <w:snapToGrid w:val="0"/>
          <w:sz w:val="24"/>
          <w:szCs w:val="24"/>
          <w:lang w:eastAsia="ru-RU"/>
        </w:rPr>
        <w:t>(надати письмове підтвердження відповідності)</w:t>
      </w:r>
      <w:r w:rsidRPr="00F9158A">
        <w:rPr>
          <w:rFonts w:ascii="Times New Roman" w:eastAsia="Times New Roman" w:hAnsi="Times New Roman" w:cs="Times New Roman"/>
          <w:bCs/>
          <w:snapToGrid w:val="0"/>
          <w:sz w:val="24"/>
          <w:szCs w:val="24"/>
          <w:lang w:eastAsia="ru-RU"/>
        </w:rPr>
        <w:t>:</w:t>
      </w:r>
    </w:p>
    <w:p w14:paraId="5D4CF24F" w14:textId="77777777" w:rsidR="00E72844" w:rsidRPr="00F9158A" w:rsidRDefault="00E72844" w:rsidP="00E72844">
      <w:pPr>
        <w:widowControl w:val="0"/>
        <w:suppressAutoHyphens/>
        <w:autoSpaceDE w:val="0"/>
        <w:autoSpaceDN w:val="0"/>
        <w:adjustRightInd w:val="0"/>
        <w:spacing w:after="0" w:line="37" w:lineRule="exact"/>
        <w:jc w:val="both"/>
        <w:rPr>
          <w:rFonts w:ascii="Times New Roman" w:eastAsia="Times New Roman" w:hAnsi="Times New Roman" w:cs="Times New Roman"/>
          <w:snapToGrid w:val="0"/>
          <w:sz w:val="24"/>
          <w:szCs w:val="24"/>
          <w:lang w:eastAsia="ru-RU"/>
        </w:rPr>
      </w:pPr>
    </w:p>
    <w:p w14:paraId="6BF8A5ED" w14:textId="77777777" w:rsidR="00E72844" w:rsidRPr="00F9158A" w:rsidRDefault="00E72844" w:rsidP="00E72844">
      <w:pPr>
        <w:widowControl w:val="0"/>
        <w:tabs>
          <w:tab w:val="num" w:pos="284"/>
        </w:tabs>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w:t>
      </w:r>
      <w:bookmarkStart w:id="9" w:name="_Hlk138705696"/>
      <w:r w:rsidRPr="00F9158A">
        <w:rPr>
          <w:rFonts w:ascii="Times New Roman" w:eastAsia="Times New Roman" w:hAnsi="Times New Roman" w:cs="Times New Roman"/>
          <w:sz w:val="24"/>
          <w:szCs w:val="24"/>
          <w:lang w:eastAsia="zh-CN"/>
        </w:rPr>
        <w:t xml:space="preserve">Не менше 12 підйомників, у тому числі підйомників вантажопід'ємністю 5 т;  </w:t>
      </w:r>
    </w:p>
    <w:p w14:paraId="3D025E26" w14:textId="77777777" w:rsidR="00E72844" w:rsidRPr="00F9158A" w:rsidRDefault="00E72844" w:rsidP="00E72844">
      <w:pPr>
        <w:widowControl w:val="0"/>
        <w:tabs>
          <w:tab w:val="num" w:pos="284"/>
        </w:tabs>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1EE2A4C2" w14:textId="77777777" w:rsidR="00E72844" w:rsidRPr="00F9158A" w:rsidRDefault="00E72844" w:rsidP="00E72844">
      <w:pPr>
        <w:widowControl w:val="0"/>
        <w:tabs>
          <w:tab w:val="num" w:pos="284"/>
        </w:tabs>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Комп'ютерний стенд для діагностики ходової частини автомобіля; </w:t>
      </w:r>
    </w:p>
    <w:p w14:paraId="77D76EDB" w14:textId="77777777" w:rsidR="00E72844" w:rsidRPr="00F9158A" w:rsidRDefault="00E72844" w:rsidP="00E72844">
      <w:pPr>
        <w:widowControl w:val="0"/>
        <w:tabs>
          <w:tab w:val="num" w:pos="284"/>
        </w:tabs>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Комп'ютерний стенд для регулювання кутів розвалу і сходження коліс 3D; </w:t>
      </w:r>
    </w:p>
    <w:p w14:paraId="1EC4B33C" w14:textId="77777777" w:rsidR="00E72844" w:rsidRPr="00F9158A" w:rsidRDefault="00E72844" w:rsidP="00E72844">
      <w:pPr>
        <w:widowControl w:val="0"/>
        <w:tabs>
          <w:tab w:val="num" w:pos="284"/>
        </w:tabs>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Обладнання для проведення балансування коліс та шиномонтажу;</w:t>
      </w:r>
    </w:p>
    <w:p w14:paraId="7B1CB905" w14:textId="77777777" w:rsidR="00E72844" w:rsidRPr="00F9158A" w:rsidRDefault="00E72844" w:rsidP="00E72844">
      <w:pPr>
        <w:widowControl w:val="0"/>
        <w:tabs>
          <w:tab w:val="num" w:pos="284"/>
        </w:tabs>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Стенд / прилад для регулювання світла фар; </w:t>
      </w:r>
    </w:p>
    <w:p w14:paraId="17F2E5D0" w14:textId="77777777" w:rsidR="00E72844" w:rsidRPr="00F9158A" w:rsidRDefault="00E72844" w:rsidP="00E72844">
      <w:pPr>
        <w:widowControl w:val="0"/>
        <w:tabs>
          <w:tab w:val="num" w:pos="284"/>
        </w:tabs>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Обладнання для діагностики та очищення форсунок інжекторів зі зняттям;</w:t>
      </w:r>
    </w:p>
    <w:p w14:paraId="5C670CBD" w14:textId="77777777" w:rsidR="00E72844" w:rsidRPr="00F9158A" w:rsidRDefault="00E72844" w:rsidP="00E72844">
      <w:pPr>
        <w:widowControl w:val="0"/>
        <w:tabs>
          <w:tab w:val="num" w:pos="284"/>
        </w:tabs>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Обладнання для діагностики та очищення форсунок інжекторів без зняття;</w:t>
      </w:r>
    </w:p>
    <w:p w14:paraId="7860A6FE"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Обладнання для ремонту та діагностики автоматичних та механічних коробок передач; </w:t>
      </w:r>
    </w:p>
    <w:p w14:paraId="2EF3538A"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Пристрій для заміни гальмівної рідини;</w:t>
      </w:r>
    </w:p>
    <w:p w14:paraId="47D892F3"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Обладнання для ремонту та заправки кондиціонерів; </w:t>
      </w:r>
    </w:p>
    <w:p w14:paraId="5A8A487F"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Професійний та спеціалізований інструмент для ремонту та обслуговування транспортних засобів Замовника; </w:t>
      </w:r>
    </w:p>
    <w:p w14:paraId="060C1046"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Пост мийки автомобілів; </w:t>
      </w:r>
    </w:p>
    <w:p w14:paraId="17D902A2"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Цех кузовного ремонту (у т.ч. малярна камера та робот по ремонту та відновленню геометрії кузова);</w:t>
      </w:r>
    </w:p>
    <w:p w14:paraId="7B46B2FA"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Ультразвуковий універсальний вимірювальний комплекс для проміру автомобіля.</w:t>
      </w:r>
    </w:p>
    <w:p w14:paraId="624D0E83"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Прилад для зливу та заміни мастил вакуумний.</w:t>
      </w:r>
    </w:p>
    <w:p w14:paraId="4132B4CC"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Стенд для промивки паливної системи.</w:t>
      </w:r>
    </w:p>
    <w:p w14:paraId="514EBD97"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Тестер тиску паливної системи.</w:t>
      </w:r>
    </w:p>
    <w:p w14:paraId="54CC2EA2"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Стенд для перевірки гальмівних сил автомобіля з вимірювачем часу спрацювання гальм.</w:t>
      </w:r>
    </w:p>
    <w:p w14:paraId="3825E275"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Вимірювач сумарного люфта.</w:t>
      </w:r>
    </w:p>
    <w:p w14:paraId="206D61AC"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Вимірювач світлопропускання скла.</w:t>
      </w:r>
    </w:p>
    <w:p w14:paraId="1F48BBAF"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Димомір.</w:t>
      </w:r>
    </w:p>
    <w:p w14:paraId="4454E4E4"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Вимірювач рівня звуку.</w:t>
      </w:r>
    </w:p>
    <w:p w14:paraId="07DDE123"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Газоаналізатор.</w:t>
      </w:r>
    </w:p>
    <w:p w14:paraId="6612BB2D"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Прилад перевірки пневмоприводу.</w:t>
      </w:r>
    </w:p>
    <w:p w14:paraId="77A3A7C7"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Сигналізатор-аналізатор.</w:t>
      </w:r>
    </w:p>
    <w:p w14:paraId="5C6875DA"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Вимірювач сумарного люфта </w:t>
      </w:r>
    </w:p>
    <w:p w14:paraId="2E7E1013"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lastRenderedPageBreak/>
        <w:t>- Манометр шинний.</w:t>
      </w:r>
    </w:p>
    <w:p w14:paraId="353B879D"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Ключ моментний </w:t>
      </w:r>
    </w:p>
    <w:p w14:paraId="47CE5C4A"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Модуль вимірювання частоти обертів та температури.</w:t>
      </w:r>
    </w:p>
    <w:p w14:paraId="52B75CF2"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Прилад перевірки натягу ременів.</w:t>
      </w:r>
    </w:p>
    <w:p w14:paraId="5F75967D"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Секундомір. </w:t>
      </w:r>
    </w:p>
    <w:p w14:paraId="3D1B2CCD"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Термометр цифровий.</w:t>
      </w:r>
    </w:p>
    <w:p w14:paraId="569283D2"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Мультиметр.</w:t>
      </w:r>
    </w:p>
    <w:p w14:paraId="4DD7F6D7"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color w:val="00B050"/>
          <w:sz w:val="24"/>
          <w:szCs w:val="24"/>
          <w:lang w:eastAsia="zh-CN"/>
        </w:rPr>
      </w:pPr>
      <w:r w:rsidRPr="00F9158A">
        <w:rPr>
          <w:rFonts w:ascii="Times New Roman" w:eastAsia="Times New Roman" w:hAnsi="Times New Roman" w:cs="Times New Roman"/>
          <w:sz w:val="24"/>
          <w:szCs w:val="24"/>
          <w:lang w:eastAsia="zh-CN"/>
        </w:rPr>
        <w:t>- Шиномонтажний стенд (не менше двох) для встановлення та балансування броньованих шин (в підтвердження наявності учасник надає гарантійний лист).</w:t>
      </w:r>
    </w:p>
    <w:p w14:paraId="712570FE" w14:textId="77777777" w:rsidR="00E72844" w:rsidRPr="00F9158A" w:rsidRDefault="00E72844" w:rsidP="00E72844">
      <w:pPr>
        <w:widowControl w:val="0"/>
        <w:suppressAutoHyphens/>
        <w:overflowPunct w:val="0"/>
        <w:autoSpaceDE w:val="0"/>
        <w:autoSpaceDN w:val="0"/>
        <w:adjustRightInd w:val="0"/>
        <w:spacing w:after="0" w:line="240" w:lineRule="atLeast"/>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Неавтоматичний зважувальний прилад</w:t>
      </w:r>
      <w:bookmarkEnd w:id="9"/>
      <w:r w:rsidRPr="00F9158A">
        <w:rPr>
          <w:rFonts w:ascii="Times New Roman" w:eastAsia="Times New Roman" w:hAnsi="Times New Roman" w:cs="Times New Roman"/>
          <w:sz w:val="24"/>
          <w:szCs w:val="24"/>
          <w:lang w:eastAsia="zh-CN"/>
        </w:rPr>
        <w:t>.</w:t>
      </w:r>
    </w:p>
    <w:p w14:paraId="446CA6C7" w14:textId="77777777" w:rsidR="00E72844" w:rsidRPr="00F9158A" w:rsidRDefault="00E72844" w:rsidP="00E72844">
      <w:pPr>
        <w:widowControl w:val="0"/>
        <w:numPr>
          <w:ilvl w:val="0"/>
          <w:numId w:val="18"/>
        </w:numPr>
        <w:tabs>
          <w:tab w:val="num" w:pos="644"/>
        </w:tabs>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bookmarkStart w:id="10" w:name="_Hlk138705781"/>
      <w:r w:rsidRPr="00F9158A">
        <w:rPr>
          <w:rFonts w:ascii="Times New Roman" w:eastAsia="Times New Roman" w:hAnsi="Times New Roman" w:cs="Times New Roman"/>
          <w:snapToGrid w:val="0"/>
          <w:sz w:val="24"/>
          <w:szCs w:val="24"/>
          <w:lang w:eastAsia="ru-RU"/>
        </w:rPr>
        <w:t>СТО Учасника повинна мати:</w:t>
      </w:r>
    </w:p>
    <w:p w14:paraId="1746E65B" w14:textId="77777777" w:rsidR="00E72844" w:rsidRPr="00F9158A" w:rsidRDefault="00E72844" w:rsidP="00E72844">
      <w:pPr>
        <w:widowControl w:val="0"/>
        <w:tabs>
          <w:tab w:val="num" w:pos="644"/>
          <w:tab w:val="num" w:pos="759"/>
        </w:tabs>
        <w:overflowPunct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lang w:eastAsia="zh-CN"/>
        </w:rPr>
      </w:pPr>
      <w:r w:rsidRPr="00F9158A">
        <w:rPr>
          <w:rFonts w:ascii="Times New Roman" w:eastAsia="Times New Roman" w:hAnsi="Times New Roman" w:cs="Times New Roman"/>
          <w:snapToGrid w:val="0"/>
          <w:sz w:val="24"/>
          <w:szCs w:val="24"/>
          <w:lang w:eastAsia="zh-CN"/>
        </w:rPr>
        <w:t>Приміщення для оформлення замовлень та очікування клієнтів;</w:t>
      </w:r>
    </w:p>
    <w:p w14:paraId="15FFDE2B" w14:textId="77777777" w:rsidR="00E72844" w:rsidRPr="00F9158A" w:rsidRDefault="00E72844" w:rsidP="00E72844">
      <w:pPr>
        <w:widowControl w:val="0"/>
        <w:tabs>
          <w:tab w:val="num" w:pos="426"/>
          <w:tab w:val="num" w:pos="644"/>
          <w:tab w:val="num" w:pos="759"/>
          <w:tab w:val="num" w:pos="786"/>
        </w:tabs>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napToGrid w:val="0"/>
          <w:sz w:val="24"/>
          <w:szCs w:val="24"/>
          <w:lang w:eastAsia="ru-RU"/>
        </w:rPr>
        <w:t>Власний склад автозапчастин,  акумуляторних  батарей,  витратних  матеріалів,  паливно-мастильних матеріалів та автошин за адресою місцезнаходження приміщень СТО, із запасом запчастин не менше 80% номенклатурного переліку на кожну модель автомобіля Замовника;</w:t>
      </w:r>
    </w:p>
    <w:p w14:paraId="13FAD870" w14:textId="77777777" w:rsidR="00E72844" w:rsidRPr="00F9158A" w:rsidRDefault="00E72844" w:rsidP="00E72844">
      <w:pPr>
        <w:widowControl w:val="0"/>
        <w:tabs>
          <w:tab w:val="num" w:pos="426"/>
          <w:tab w:val="num" w:pos="644"/>
        </w:tabs>
        <w:suppressAutoHyphens/>
        <w:overflowPunct w:val="0"/>
        <w:autoSpaceDE w:val="0"/>
        <w:autoSpaceDN w:val="0"/>
        <w:adjustRightInd w:val="0"/>
        <w:spacing w:after="0" w:line="232" w:lineRule="auto"/>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napToGrid w:val="0"/>
          <w:sz w:val="24"/>
          <w:szCs w:val="24"/>
          <w:lang w:eastAsia="ru-RU"/>
        </w:rPr>
        <w:t xml:space="preserve">-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 </w:t>
      </w:r>
    </w:p>
    <w:p w14:paraId="194DF8BD" w14:textId="77777777" w:rsidR="00E72844" w:rsidRPr="00F9158A" w:rsidRDefault="00E72844" w:rsidP="00E72844">
      <w:pPr>
        <w:widowControl w:val="0"/>
        <w:tabs>
          <w:tab w:val="num" w:pos="426"/>
          <w:tab w:val="num" w:pos="644"/>
        </w:tabs>
        <w:suppressAutoHyphens/>
        <w:overflowPunct w:val="0"/>
        <w:autoSpaceDE w:val="0"/>
        <w:autoSpaceDN w:val="0"/>
        <w:adjustRightInd w:val="0"/>
        <w:spacing w:after="0" w:line="250" w:lineRule="auto"/>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napToGrid w:val="0"/>
          <w:sz w:val="24"/>
          <w:szCs w:val="24"/>
          <w:lang w:eastAsia="ru-RU"/>
        </w:rPr>
        <w:t xml:space="preserve">- Встановлене спеціалізоване ліцензійне програмне забезпечення для реалізації і правильного використання запчастин, інтервалів та трудомісткості обслуговування автомобілів, технології їх ремонту та діагностики </w:t>
      </w:r>
      <w:r w:rsidRPr="00F9158A">
        <w:rPr>
          <w:rFonts w:ascii="Times New Roman" w:eastAsia="Times New Roman" w:hAnsi="Times New Roman" w:cs="Times New Roman"/>
          <w:i/>
          <w:snapToGrid w:val="0"/>
          <w:sz w:val="24"/>
          <w:szCs w:val="24"/>
          <w:u w:val="single"/>
          <w:lang w:eastAsia="ru-RU"/>
        </w:rPr>
        <w:t>(надати копію відповідного документу – сертифікату/свідоцтва/договору)</w:t>
      </w:r>
      <w:r w:rsidRPr="00F9158A">
        <w:rPr>
          <w:rFonts w:ascii="Times New Roman" w:eastAsia="Times New Roman" w:hAnsi="Times New Roman" w:cs="Times New Roman"/>
          <w:snapToGrid w:val="0"/>
          <w:sz w:val="24"/>
          <w:szCs w:val="24"/>
          <w:lang w:eastAsia="ru-RU"/>
        </w:rPr>
        <w:t xml:space="preserve">; </w:t>
      </w:r>
    </w:p>
    <w:p w14:paraId="5F4C190A" w14:textId="77777777" w:rsidR="00E72844" w:rsidRPr="00F9158A" w:rsidRDefault="00E72844" w:rsidP="00E72844">
      <w:pPr>
        <w:widowControl w:val="0"/>
        <w:tabs>
          <w:tab w:val="num" w:pos="426"/>
          <w:tab w:val="num" w:pos="644"/>
        </w:tabs>
        <w:suppressAutoHyphens/>
        <w:overflowPunct w:val="0"/>
        <w:autoSpaceDE w:val="0"/>
        <w:autoSpaceDN w:val="0"/>
        <w:adjustRightInd w:val="0"/>
        <w:spacing w:after="0" w:line="251" w:lineRule="auto"/>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napToGrid w:val="0"/>
          <w:sz w:val="24"/>
          <w:szCs w:val="24"/>
          <w:lang w:eastAsia="ru-RU"/>
        </w:rPr>
        <w:t xml:space="preserve">- </w:t>
      </w:r>
      <w:bookmarkStart w:id="11" w:name="_Hlk138705853"/>
      <w:r w:rsidRPr="00F9158A">
        <w:rPr>
          <w:rFonts w:ascii="Times New Roman" w:eastAsia="Times New Roman" w:hAnsi="Times New Roman" w:cs="Times New Roman"/>
          <w:snapToGrid w:val="0"/>
          <w:sz w:val="24"/>
          <w:szCs w:val="24"/>
          <w:lang w:eastAsia="ru-RU"/>
        </w:rPr>
        <w:t xml:space="preserve">Автомобіль технічної допомоги (евакуатор) цілодобово </w:t>
      </w:r>
      <w:bookmarkEnd w:id="10"/>
      <w:bookmarkEnd w:id="11"/>
      <w:r w:rsidRPr="00F9158A">
        <w:rPr>
          <w:rFonts w:ascii="Times New Roman" w:eastAsia="Times New Roman" w:hAnsi="Times New Roman" w:cs="Times New Roman"/>
          <w:i/>
          <w:snapToGrid w:val="0"/>
          <w:sz w:val="24"/>
          <w:szCs w:val="24"/>
          <w:u w:val="single"/>
          <w:lang w:eastAsia="ru-RU"/>
        </w:rPr>
        <w:t>(надати документ підтвердження – копія технічного паспорту, або договору оренди, або договору про надання таких послуг)</w:t>
      </w:r>
      <w:r w:rsidRPr="00F9158A">
        <w:rPr>
          <w:rFonts w:ascii="Times New Roman" w:eastAsia="Times New Roman" w:hAnsi="Times New Roman" w:cs="Times New Roman"/>
          <w:snapToGrid w:val="0"/>
          <w:sz w:val="24"/>
          <w:szCs w:val="24"/>
          <w:lang w:eastAsia="ru-RU"/>
        </w:rPr>
        <w:t>.</w:t>
      </w:r>
    </w:p>
    <w:p w14:paraId="05697F2F" w14:textId="77777777" w:rsidR="00E72844" w:rsidRPr="00F9158A" w:rsidRDefault="00E72844" w:rsidP="00E72844">
      <w:pPr>
        <w:widowControl w:val="0"/>
        <w:tabs>
          <w:tab w:val="num" w:pos="644"/>
        </w:tabs>
        <w:suppressAutoHyphens/>
        <w:autoSpaceDE w:val="0"/>
        <w:autoSpaceDN w:val="0"/>
        <w:adjustRightInd w:val="0"/>
        <w:spacing w:after="0" w:line="38" w:lineRule="exact"/>
        <w:ind w:left="284" w:firstLine="426"/>
        <w:jc w:val="both"/>
        <w:rPr>
          <w:rFonts w:ascii="Times New Roman" w:eastAsia="Times New Roman" w:hAnsi="Times New Roman" w:cs="Times New Roman"/>
          <w:snapToGrid w:val="0"/>
          <w:sz w:val="24"/>
          <w:szCs w:val="24"/>
          <w:lang w:eastAsia="ru-RU"/>
        </w:rPr>
      </w:pPr>
    </w:p>
    <w:p w14:paraId="3B40ECCA" w14:textId="77777777" w:rsidR="00E72844" w:rsidRPr="00F9158A" w:rsidRDefault="00E72844" w:rsidP="00E72844">
      <w:pPr>
        <w:widowControl w:val="0"/>
        <w:tabs>
          <w:tab w:val="num" w:pos="644"/>
        </w:tabs>
        <w:suppressAutoHyphens/>
        <w:autoSpaceDE w:val="0"/>
        <w:autoSpaceDN w:val="0"/>
        <w:adjustRightInd w:val="0"/>
        <w:spacing w:after="0" w:line="39" w:lineRule="exact"/>
        <w:ind w:left="284" w:firstLine="426"/>
        <w:jc w:val="both"/>
        <w:rPr>
          <w:rFonts w:ascii="Times New Roman" w:eastAsia="Times New Roman" w:hAnsi="Times New Roman" w:cs="Times New Roman"/>
          <w:snapToGrid w:val="0"/>
          <w:sz w:val="24"/>
          <w:szCs w:val="24"/>
          <w:lang w:eastAsia="ru-RU"/>
        </w:rPr>
      </w:pPr>
    </w:p>
    <w:p w14:paraId="44C8DC7F" w14:textId="77777777" w:rsidR="00E72844" w:rsidRPr="00F9158A" w:rsidRDefault="00E72844" w:rsidP="00E72844">
      <w:pPr>
        <w:widowControl w:val="0"/>
        <w:numPr>
          <w:ilvl w:val="0"/>
          <w:numId w:val="18"/>
        </w:numPr>
        <w:tabs>
          <w:tab w:val="num" w:pos="644"/>
        </w:tabs>
        <w:suppressAutoHyphens/>
        <w:overflowPunct w:val="0"/>
        <w:autoSpaceDE w:val="0"/>
        <w:autoSpaceDN w:val="0"/>
        <w:adjustRightInd w:val="0"/>
        <w:spacing w:after="0" w:line="239" w:lineRule="auto"/>
        <w:ind w:left="0" w:firstLine="0"/>
        <w:contextualSpacing/>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napToGrid w:val="0"/>
          <w:sz w:val="24"/>
          <w:szCs w:val="24"/>
          <w:lang w:eastAsia="ru-RU"/>
        </w:rPr>
        <w:t xml:space="preserve">СТО Учасника повинна мати можливість проведення гарантійного та післягарантійного обслуговування і ремонту транспортних засобів </w:t>
      </w:r>
      <w:r w:rsidRPr="00F9158A">
        <w:rPr>
          <w:rFonts w:ascii="Times New Roman" w:eastAsia="Times New Roman" w:hAnsi="Times New Roman" w:cs="Times New Roman"/>
          <w:i/>
          <w:snapToGrid w:val="0"/>
          <w:sz w:val="24"/>
          <w:szCs w:val="24"/>
          <w:u w:val="single"/>
          <w:lang w:eastAsia="ru-RU"/>
        </w:rPr>
        <w:t>(надати копію сертифікату/свідоцтва);</w:t>
      </w:r>
    </w:p>
    <w:p w14:paraId="68BFC92E" w14:textId="77777777" w:rsidR="00E72844" w:rsidRPr="00F9158A" w:rsidRDefault="00E72844" w:rsidP="00E72844">
      <w:pPr>
        <w:widowControl w:val="0"/>
        <w:numPr>
          <w:ilvl w:val="0"/>
          <w:numId w:val="18"/>
        </w:numPr>
        <w:tabs>
          <w:tab w:val="num" w:pos="644"/>
        </w:tabs>
        <w:suppressAutoHyphens/>
        <w:overflowPunct w:val="0"/>
        <w:autoSpaceDE w:val="0"/>
        <w:autoSpaceDN w:val="0"/>
        <w:adjustRightInd w:val="0"/>
        <w:spacing w:after="0" w:line="239" w:lineRule="auto"/>
        <w:ind w:left="0" w:firstLine="0"/>
        <w:contextualSpacing/>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z w:val="24"/>
          <w:szCs w:val="24"/>
          <w:lang w:eastAsia="zh-CN"/>
        </w:rPr>
        <w:t>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w:t>
      </w:r>
      <w:r w:rsidRPr="00F9158A">
        <w:rPr>
          <w:rFonts w:ascii="Times New Roman" w:eastAsia="Times New Roman" w:hAnsi="Times New Roman" w:cs="Times New Roman"/>
          <w:i/>
          <w:sz w:val="24"/>
          <w:szCs w:val="24"/>
          <w:u w:val="single"/>
          <w:lang w:eastAsia="zh-CN"/>
        </w:rPr>
        <w:t xml:space="preserve">надати завірену копію діючого сертифікату відповідності послуг з технічного обслуговування та ремонту транспортних засобів, виданого органом з сертифікації продукції, процесів та послуг,  який засвідчує, що послуги, які будуть надаватися учасником відповідають вимогам ДСТУ 2322-93, ДСТУ 3649:2010, ДСТУ 4276:2004, ДСТУ 4277:2004. </w:t>
      </w:r>
      <w:r w:rsidRPr="00F9158A">
        <w:rPr>
          <w:rFonts w:ascii="Times New Roman" w:eastAsia="Times New Roman" w:hAnsi="Times New Roman" w:cs="Times New Roman"/>
          <w:i/>
          <w:sz w:val="24"/>
          <w:szCs w:val="24"/>
          <w:lang w:eastAsia="zh-CN"/>
        </w:rPr>
        <w:t>У випадку, якщо станом на кінцеву дату подання пропозиції Сертифікат діє більше року, він має бути наданий з документом, що підтверджує дотримання Учасником вимог щодо проведення щорічного технічного нагляду відповідності послуг вимогам нормативної документації та документації виробників КТЗ</w:t>
      </w:r>
    </w:p>
    <w:p w14:paraId="2095C9C5" w14:textId="77777777" w:rsidR="00E72844" w:rsidRPr="00F9158A" w:rsidRDefault="00E72844" w:rsidP="00E72844">
      <w:pPr>
        <w:widowControl w:val="0"/>
        <w:numPr>
          <w:ilvl w:val="0"/>
          <w:numId w:val="18"/>
        </w:numPr>
        <w:tabs>
          <w:tab w:val="num" w:pos="644"/>
        </w:tabs>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F9158A">
        <w:rPr>
          <w:rFonts w:ascii="Times New Roman" w:eastAsia="Times New Roman" w:hAnsi="Times New Roman" w:cs="Times New Roman"/>
          <w:sz w:val="24"/>
          <w:szCs w:val="24"/>
          <w:lang w:eastAsia="zh-CN"/>
        </w:rPr>
        <w:t xml:space="preserve">Для підтвердження незалежної та технічної компетенції вимірювальних можливостей СТО для забезпечення точної діагностики автотранспортних засобів, перевірки та виявлення їх несправностей, вимірювальні можливості СТО Учасника мають бути оцінені, визнані та сертифіковані ДП «Укрметртестстандарт» </w:t>
      </w:r>
      <w:r w:rsidRPr="00F9158A">
        <w:rPr>
          <w:rFonts w:ascii="Times New Roman" w:eastAsia="Times New Roman" w:hAnsi="Times New Roman" w:cs="Times New Roman"/>
          <w:i/>
          <w:sz w:val="24"/>
          <w:szCs w:val="24"/>
          <w:u w:val="single"/>
          <w:lang w:eastAsia="zh-CN"/>
        </w:rPr>
        <w:t>(надати завірену копію діючого сертифікату (сертифікатів), виданого ДП «Укрметртестстандарт» з усіма додатками, на які є посилання у такому сертифікаті, про визнання вимірювальних можливостей станції технічного обслуговування методам контролювання зазначених в ДСТУ 3649:2010 щодо зовнішніх світлових приладів, рульового керування, шин та коліс, гальмівних систем, двигунів та їх систем, вітрового скла, підвіски та трансмісії, газобалонного обладнання. Також надати завірені копії свідоцтв калібрування/повірок вимірювальних засобів, виданих не раніше 1 року відносно кінцевої дати подання пропозицій, організацією (калібрувальною лабораторією), яка акредитована відповідно до вимог стандарту ДСТУ ISO/ІЕС 17025, на наступне обладнання:</w:t>
      </w:r>
    </w:p>
    <w:p w14:paraId="2D6A5F29"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-Стенд для перевірки гальмівних сил автомобіля з вимірювачем часу спрацювання гальм  </w:t>
      </w:r>
    </w:p>
    <w:p w14:paraId="64D18481"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-Вимірювач світлопропускання скла </w:t>
      </w:r>
    </w:p>
    <w:p w14:paraId="54D5362F"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-Димомір </w:t>
      </w:r>
    </w:p>
    <w:p w14:paraId="128C8371"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-Газоаналізатор </w:t>
      </w:r>
    </w:p>
    <w:p w14:paraId="339B3BC7"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-Манометр шинний </w:t>
      </w:r>
    </w:p>
    <w:p w14:paraId="6550FDD5"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lastRenderedPageBreak/>
        <w:t xml:space="preserve">-Стенд для балансування коліс </w:t>
      </w:r>
    </w:p>
    <w:p w14:paraId="6F26CB96"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-Стенд </w:t>
      </w:r>
      <w:r w:rsidRPr="00F9158A">
        <w:rPr>
          <w:rFonts w:ascii="Times New Roman" w:eastAsia="Times New Roman" w:hAnsi="Times New Roman" w:cs="Times New Roman"/>
          <w:b/>
          <w:bCs/>
          <w:sz w:val="24"/>
          <w:szCs w:val="24"/>
          <w:lang w:eastAsia="zh-CN"/>
        </w:rPr>
        <w:t>/</w:t>
      </w:r>
      <w:r w:rsidRPr="00F9158A">
        <w:rPr>
          <w:rFonts w:ascii="Times New Roman" w:eastAsia="Times New Roman" w:hAnsi="Times New Roman" w:cs="Times New Roman"/>
          <w:sz w:val="24"/>
          <w:szCs w:val="24"/>
          <w:lang w:eastAsia="zh-CN"/>
        </w:rPr>
        <w:t xml:space="preserve"> прилад для регулювання світла фар   </w:t>
      </w:r>
    </w:p>
    <w:p w14:paraId="3E5D3952"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-Ключ моментний </w:t>
      </w:r>
    </w:p>
    <w:p w14:paraId="196CD423"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Прилад  перевірки натягу ременів </w:t>
      </w:r>
    </w:p>
    <w:p w14:paraId="7F12F1EB" w14:textId="77777777" w:rsidR="00E72844" w:rsidRPr="00F9158A" w:rsidRDefault="00E72844" w:rsidP="00E72844">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F9158A">
        <w:rPr>
          <w:rFonts w:ascii="Times New Roman" w:eastAsia="Times New Roman" w:hAnsi="Times New Roman" w:cs="Times New Roman"/>
          <w:sz w:val="24"/>
          <w:szCs w:val="24"/>
          <w:lang w:eastAsia="zh-CN"/>
        </w:rPr>
        <w:t xml:space="preserve">- Стенд регулювання розвалу і сходження коліс </w:t>
      </w:r>
    </w:p>
    <w:p w14:paraId="14D7AED9" w14:textId="77777777" w:rsidR="00E72844" w:rsidRPr="00F9158A" w:rsidRDefault="00E72844" w:rsidP="00E72844">
      <w:pPr>
        <w:widowControl w:val="0"/>
        <w:numPr>
          <w:ilvl w:val="0"/>
          <w:numId w:val="18"/>
        </w:numPr>
        <w:tabs>
          <w:tab w:val="num" w:pos="0"/>
        </w:tabs>
        <w:suppressAutoHyphens/>
        <w:overflowPunct w:val="0"/>
        <w:autoSpaceDE w:val="0"/>
        <w:autoSpaceDN w:val="0"/>
        <w:adjustRightInd w:val="0"/>
        <w:spacing w:after="0" w:line="239" w:lineRule="auto"/>
        <w:ind w:left="0" w:firstLine="0"/>
        <w:contextualSpacing/>
        <w:jc w:val="both"/>
        <w:rPr>
          <w:rFonts w:ascii="Times New Roman" w:eastAsia="Times New Roman" w:hAnsi="Times New Roman" w:cs="Times New Roman"/>
          <w:i/>
          <w:sz w:val="24"/>
          <w:szCs w:val="24"/>
          <w:u w:val="single"/>
          <w:lang w:eastAsia="ru-RU"/>
        </w:rPr>
      </w:pPr>
      <w:r w:rsidRPr="00F9158A">
        <w:rPr>
          <w:rFonts w:ascii="Times New Roman" w:eastAsia="Times New Roman" w:hAnsi="Times New Roman" w:cs="Times New Roman"/>
          <w:sz w:val="24"/>
          <w:szCs w:val="24"/>
          <w:lang w:eastAsia="ru-RU"/>
        </w:rPr>
        <w:t xml:space="preserve">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w:t>
      </w:r>
      <w:r w:rsidRPr="00F9158A">
        <w:rPr>
          <w:rFonts w:ascii="Times New Roman" w:eastAsia="Times New Roman" w:hAnsi="Times New Roman" w:cs="Times New Roman"/>
          <w:sz w:val="24"/>
          <w:szCs w:val="24"/>
          <w:lang w:val="en-US" w:eastAsia="ru-RU"/>
        </w:rPr>
        <w:t>EN</w:t>
      </w:r>
      <w:r w:rsidRPr="00F9158A">
        <w:rPr>
          <w:rFonts w:ascii="Times New Roman" w:eastAsia="Times New Roman" w:hAnsi="Times New Roman" w:cs="Times New Roman"/>
          <w:sz w:val="24"/>
          <w:szCs w:val="24"/>
          <w:lang w:eastAsia="ru-RU"/>
        </w:rPr>
        <w:t xml:space="preserve"> ISO 9001:2018 «Системи управління якістю. Вимоги». (</w:t>
      </w:r>
      <w:r w:rsidRPr="00F9158A">
        <w:rPr>
          <w:rFonts w:ascii="Times New Roman" w:eastAsia="Times New Roman" w:hAnsi="Times New Roman" w:cs="Times New Roman"/>
          <w:i/>
          <w:snapToGrid w:val="0"/>
          <w:sz w:val="24"/>
          <w:szCs w:val="24"/>
          <w:u w:val="single"/>
          <w:lang w:eastAsia="ru-RU"/>
        </w:rPr>
        <w:t>На підтвердження Учасник має надати копію діючого сертифікату на систему управління якістю (стосовно надання послуг з технічного обслуговування та ремонту автотранспортних засобів),</w:t>
      </w:r>
      <w:r w:rsidRPr="00F9158A">
        <w:rPr>
          <w:rFonts w:ascii="Times New Roman" w:eastAsia="Times New Roman" w:hAnsi="Times New Roman" w:cs="Times New Roman"/>
          <w:snapToGrid w:val="0"/>
          <w:sz w:val="24"/>
          <w:szCs w:val="24"/>
          <w:lang w:eastAsia="ru-RU"/>
        </w:rPr>
        <w:t xml:space="preserve"> </w:t>
      </w:r>
      <w:r w:rsidRPr="00F9158A">
        <w:rPr>
          <w:rFonts w:ascii="Times New Roman" w:eastAsia="Times New Roman" w:hAnsi="Times New Roman" w:cs="Times New Roman"/>
          <w:i/>
          <w:snapToGrid w:val="0"/>
          <w:sz w:val="24"/>
          <w:szCs w:val="24"/>
          <w:u w:val="single"/>
          <w:lang w:eastAsia="ru-RU"/>
        </w:rPr>
        <w:t>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w:t>
      </w:r>
      <w:r w:rsidRPr="00F9158A">
        <w:rPr>
          <w:rFonts w:ascii="Times New Roman" w:eastAsia="Times New Roman" w:hAnsi="Times New Roman" w:cs="Times New Roman"/>
          <w:i/>
          <w:sz w:val="24"/>
          <w:szCs w:val="24"/>
          <w:u w:val="single"/>
          <w:lang w:eastAsia="ru-RU"/>
        </w:rPr>
        <w:t>.</w:t>
      </w:r>
      <w:r w:rsidRPr="00F9158A">
        <w:rPr>
          <w:rFonts w:ascii="Times New Roman" w:eastAsia="Times New Roman" w:hAnsi="Times New Roman" w:cs="Times New Roman"/>
          <w:snapToGrid w:val="0"/>
          <w:sz w:val="24"/>
          <w:szCs w:val="24"/>
          <w:lang w:eastAsia="ru-RU"/>
        </w:rPr>
        <w:t xml:space="preserve"> </w:t>
      </w:r>
      <w:r w:rsidRPr="00F9158A">
        <w:rPr>
          <w:rFonts w:ascii="Times New Roman" w:eastAsia="Times New Roman" w:hAnsi="Times New Roman" w:cs="Times New Roman"/>
          <w:i/>
          <w:sz w:val="24"/>
          <w:szCs w:val="24"/>
          <w:u w:val="single"/>
          <w:lang w:eastAsia="ru-RU"/>
        </w:rPr>
        <w:t>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315B72A8" w14:textId="77777777" w:rsidR="00E72844" w:rsidRPr="00F9158A" w:rsidRDefault="00E72844" w:rsidP="00E72844">
      <w:pPr>
        <w:widowControl w:val="0"/>
        <w:numPr>
          <w:ilvl w:val="0"/>
          <w:numId w:val="18"/>
        </w:numPr>
        <w:tabs>
          <w:tab w:val="num" w:pos="0"/>
        </w:tabs>
        <w:suppressAutoHyphens/>
        <w:overflowPunct w:val="0"/>
        <w:autoSpaceDE w:val="0"/>
        <w:autoSpaceDN w:val="0"/>
        <w:adjustRightInd w:val="0"/>
        <w:spacing w:after="0" w:line="239" w:lineRule="auto"/>
        <w:ind w:left="0" w:firstLine="0"/>
        <w:contextualSpacing/>
        <w:jc w:val="both"/>
        <w:rPr>
          <w:rFonts w:ascii="Times New Roman" w:eastAsia="Times New Roman" w:hAnsi="Times New Roman" w:cs="Times New Roman"/>
          <w:i/>
          <w:snapToGrid w:val="0"/>
          <w:sz w:val="24"/>
          <w:szCs w:val="24"/>
          <w:u w:val="single"/>
          <w:lang w:eastAsia="ru-RU"/>
        </w:rPr>
      </w:pPr>
      <w:r w:rsidRPr="00F9158A">
        <w:rPr>
          <w:rFonts w:ascii="Times New Roman" w:eastAsia="Times New Roman" w:hAnsi="Times New Roman" w:cs="Times New Roman"/>
          <w:snapToGrid w:val="0"/>
          <w:sz w:val="24"/>
          <w:szCs w:val="24"/>
          <w:lang w:eastAsia="ru-RU"/>
        </w:rPr>
        <w:t xml:space="preserve">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w:t>
      </w:r>
      <w:r w:rsidRPr="00F9158A">
        <w:rPr>
          <w:rFonts w:ascii="Times New Roman" w:eastAsia="Times New Roman" w:hAnsi="Times New Roman" w:cs="Times New Roman"/>
          <w:i/>
          <w:snapToGrid w:val="0"/>
          <w:sz w:val="24"/>
          <w:szCs w:val="24"/>
          <w:u w:val="single"/>
          <w:lang w:eastAsia="ru-RU"/>
        </w:rPr>
        <w:t>(На підтвердження Учасник має надати завірену копію діючого сертифікату на систему екологічного управління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w:t>
      </w:r>
      <w:r w:rsidRPr="00F9158A">
        <w:rPr>
          <w:rFonts w:ascii="Times New Roman" w:eastAsia="Times New Roman" w:hAnsi="Times New Roman" w:cs="Times New Roman"/>
          <w:i/>
          <w:snapToGrid w:val="0"/>
          <w:sz w:val="24"/>
          <w:szCs w:val="24"/>
          <w:u w:val="single"/>
          <w:lang w:val="en-US" w:eastAsia="ru-RU"/>
        </w:rPr>
        <w:t>ISO</w:t>
      </w:r>
      <w:r w:rsidRPr="00F9158A">
        <w:rPr>
          <w:rFonts w:ascii="Times New Roman" w:eastAsia="Times New Roman" w:hAnsi="Times New Roman" w:cs="Times New Roman"/>
          <w:i/>
          <w:snapToGrid w:val="0"/>
          <w:sz w:val="24"/>
          <w:szCs w:val="24"/>
          <w:u w:val="single"/>
          <w:lang w:eastAsia="ru-RU"/>
        </w:rPr>
        <w:t xml:space="preserve"> 14001:2015, </w:t>
      </w:r>
      <w:r w:rsidRPr="00F9158A">
        <w:rPr>
          <w:rFonts w:ascii="Times New Roman" w:eastAsia="Times New Roman" w:hAnsi="Times New Roman" w:cs="Times New Roman"/>
          <w:i/>
          <w:snapToGrid w:val="0"/>
          <w:sz w:val="24"/>
          <w:szCs w:val="24"/>
          <w:u w:val="single"/>
          <w:lang w:val="en-US" w:eastAsia="ru-RU"/>
        </w:rPr>
        <w:t>IDT</w:t>
      </w:r>
      <w:r w:rsidRPr="00F9158A">
        <w:rPr>
          <w:rFonts w:ascii="Times New Roman" w:eastAsia="Times New Roman" w:hAnsi="Times New Roman" w:cs="Times New Roman"/>
          <w:i/>
          <w:snapToGrid w:val="0"/>
          <w:sz w:val="24"/>
          <w:szCs w:val="24"/>
          <w:u w:val="single"/>
          <w:lang w:eastAsia="ru-RU"/>
        </w:rPr>
        <w:t>) «Системи екологічного управління. Вимоги та настанови щодо застосування»</w:t>
      </w:r>
      <w:r w:rsidRPr="00F9158A">
        <w:rPr>
          <w:rFonts w:ascii="Times New Roman" w:eastAsia="Times New Roman" w:hAnsi="Times New Roman" w:cs="Times New Roman"/>
          <w:snapToGrid w:val="0"/>
          <w:sz w:val="24"/>
          <w:szCs w:val="24"/>
          <w:lang w:eastAsia="ru-RU"/>
        </w:rPr>
        <w:t>.</w:t>
      </w:r>
      <w:r w:rsidRPr="00F9158A">
        <w:rPr>
          <w:rFonts w:ascii="Times New Roman" w:eastAsia="Times New Roman" w:hAnsi="Times New Roman" w:cs="Times New Roman"/>
          <w:i/>
          <w:snapToGrid w:val="0"/>
          <w:sz w:val="24"/>
          <w:szCs w:val="24"/>
          <w:u w:val="single"/>
          <w:lang w:eastAsia="ru-RU"/>
        </w:rPr>
        <w:t>У випадку, якщо станом на кінцеву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1C4A56DF" w14:textId="77777777" w:rsidR="00E72844" w:rsidRPr="00F9158A" w:rsidRDefault="00E72844" w:rsidP="00E72844">
      <w:pPr>
        <w:widowControl w:val="0"/>
        <w:numPr>
          <w:ilvl w:val="0"/>
          <w:numId w:val="18"/>
        </w:numPr>
        <w:tabs>
          <w:tab w:val="num" w:pos="0"/>
          <w:tab w:val="num" w:pos="644"/>
        </w:tabs>
        <w:suppressAutoHyphens/>
        <w:overflowPunct w:val="0"/>
        <w:autoSpaceDE w:val="0"/>
        <w:autoSpaceDN w:val="0"/>
        <w:adjustRightInd w:val="0"/>
        <w:spacing w:after="0" w:line="239" w:lineRule="auto"/>
        <w:ind w:left="0" w:firstLine="0"/>
        <w:contextualSpacing/>
        <w:jc w:val="both"/>
        <w:rPr>
          <w:rFonts w:ascii="Times New Roman" w:eastAsia="Times New Roman" w:hAnsi="Times New Roman" w:cs="Times New Roman"/>
          <w:sz w:val="24"/>
          <w:szCs w:val="24"/>
          <w:lang w:eastAsia="ru-RU"/>
        </w:rPr>
      </w:pPr>
      <w:r w:rsidRPr="00F9158A">
        <w:rPr>
          <w:rFonts w:ascii="Times New Roman" w:eastAsia="Times New Roman" w:hAnsi="Times New Roman" w:cs="Times New Roman"/>
          <w:sz w:val="24"/>
          <w:szCs w:val="24"/>
          <w:lang w:eastAsia="ru-RU"/>
        </w:rPr>
        <w:t>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(надати її схему розміщення) та цілодобову фізичну охорону (На підтвердження відповідності вимогам безпеки ТЗ Замовника, надати підтвердження у вигляді копії договору про надання послуг  з  цілодобової фізичної охорони з відповідною охоронною організацією яка має відповідну ліцензію Міністерства внутрішніх справ України на здійснення такої діяльності, наявність якої можна перевірити за посиланням https://mvs.gov.ua/uk/activity/licenzuvannya/licenziyi.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 а також підтвердження наявності відеоспостереження у вигляді копії  договору з відповідною організацією про його встановлення).</w:t>
      </w:r>
    </w:p>
    <w:p w14:paraId="6AF3798F" w14:textId="77777777" w:rsidR="00E72844" w:rsidRPr="00F9158A" w:rsidRDefault="00E72844" w:rsidP="00E72844">
      <w:pPr>
        <w:widowControl w:val="0"/>
        <w:numPr>
          <w:ilvl w:val="0"/>
          <w:numId w:val="18"/>
        </w:numPr>
        <w:tabs>
          <w:tab w:val="num" w:pos="0"/>
          <w:tab w:val="num" w:pos="644"/>
        </w:tabs>
        <w:suppressAutoHyphens/>
        <w:overflowPunct w:val="0"/>
        <w:autoSpaceDE w:val="0"/>
        <w:autoSpaceDN w:val="0"/>
        <w:adjustRightInd w:val="0"/>
        <w:spacing w:after="0" w:line="239" w:lineRule="auto"/>
        <w:ind w:left="0" w:firstLine="0"/>
        <w:contextualSpacing/>
        <w:jc w:val="both"/>
        <w:rPr>
          <w:rFonts w:ascii="Times New Roman" w:eastAsia="Times New Roman" w:hAnsi="Times New Roman" w:cs="Times New Roman"/>
          <w:sz w:val="24"/>
          <w:szCs w:val="24"/>
          <w:lang w:eastAsia="ru-RU"/>
        </w:rPr>
      </w:pPr>
      <w:r w:rsidRPr="00F9158A">
        <w:rPr>
          <w:rFonts w:ascii="Times New Roman" w:hAnsi="Times New Roman" w:cs="Times New Roman"/>
          <w:sz w:val="24"/>
          <w:szCs w:val="24"/>
          <w:lang w:eastAsia="ru-RU"/>
        </w:rPr>
        <w:t>Учасник повинен надати гарантійний лист з підтвердженням того, що на бронескло яке буде встановлене на автомобіль, буде за потреби надано відповідний сертифікат. Також в гарантійному листі Учасник має підтвердити можливість встановлення бронескла саме за адресою СТО учасника.</w:t>
      </w:r>
    </w:p>
    <w:p w14:paraId="7CA89B83" w14:textId="77777777"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DA56E87" w14:textId="77777777"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0B85D6C" w14:textId="3F44C007"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B87B598" w14:textId="76A26FE1" w:rsidR="00E72844" w:rsidRDefault="00E7284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0AB144E" w14:textId="078014D5" w:rsidR="00E72844" w:rsidRDefault="00E7284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7ABE2DB" w14:textId="53587BC0" w:rsidR="00E72844" w:rsidRDefault="00E7284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4905496" w14:textId="64E5054E" w:rsidR="00E72844" w:rsidRDefault="00E7284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109739A" w14:textId="107AED89" w:rsidR="00E72844" w:rsidRDefault="00E7284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6F75152" w14:textId="77777777" w:rsidR="00E72844" w:rsidRDefault="00E7284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7A06EF1" w14:textId="77777777"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12"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12"/>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13"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13"/>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1FE344F6" w:rsidR="00950202" w:rsidRPr="00950202" w:rsidRDefault="00950202" w:rsidP="00950202">
      <w:pPr>
        <w:shd w:val="clear" w:color="auto" w:fill="FFFFFF"/>
        <w:spacing w:after="0" w:line="240" w:lineRule="auto"/>
        <w:jc w:val="both"/>
        <w:outlineLvl w:val="0"/>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00BC4B9E">
        <w:rPr>
          <w:rFonts w:ascii="Times New Roman" w:eastAsia="Arial" w:hAnsi="Times New Roman" w:cs="Times New Roman"/>
          <w:sz w:val="24"/>
          <w:szCs w:val="24"/>
          <w:lang w:val="ru-RU"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604876A9"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__________________________________________________________________________________________________________________________________________________________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5C8414CD"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12EDB4AD" w:rsidR="00950202" w:rsidRPr="00BC4B9E" w:rsidRDefault="00950202" w:rsidP="00BC4B9E">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lastRenderedPageBreak/>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212DECD7"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52C6BB83" w:rsidR="00950202" w:rsidRPr="007D4FE8"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Pr="00950202">
        <w:rPr>
          <w:rFonts w:ascii="Times New Roman" w:eastAsia="Arial" w:hAnsi="Times New Roman" w:cs="Times New Roman"/>
          <w:sz w:val="24"/>
          <w:szCs w:val="24"/>
          <w:lang w:eastAsia="ru-RU"/>
        </w:rPr>
        <w:t>.2023</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w:t>
      </w:r>
      <w:r w:rsidRPr="00950202">
        <w:rPr>
          <w:rFonts w:ascii="Times New Roman" w:eastAsia="Arial" w:hAnsi="Times New Roman" w:cs="Times New Roman"/>
          <w:bCs/>
          <w:iCs/>
          <w:sz w:val="24"/>
          <w:szCs w:val="24"/>
          <w:lang w:eastAsia="ru-RU"/>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4" w:name="n1772"/>
      <w:bookmarkEnd w:id="14"/>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5" w:name="n1773"/>
      <w:bookmarkEnd w:id="15"/>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6" w:name="n1774"/>
      <w:bookmarkEnd w:id="16"/>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04366C9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6C3B5FF5" w14:textId="77777777"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Pr="00950202">
        <w:rPr>
          <w:rFonts w:ascii="Times New Roman" w:eastAsia="Arial" w:hAnsi="Times New Roman" w:cs="Times New Roman"/>
          <w:sz w:val="24"/>
          <w:szCs w:val="24"/>
          <w:lang w:val="ru-RU" w:eastAsia="ru-RU"/>
        </w:rPr>
        <w:t>3</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D97C" w14:textId="77777777" w:rsidR="009E2566" w:rsidRDefault="009E2566">
      <w:pPr>
        <w:spacing w:after="0" w:line="240" w:lineRule="auto"/>
      </w:pPr>
      <w:r>
        <w:separator/>
      </w:r>
    </w:p>
  </w:endnote>
  <w:endnote w:type="continuationSeparator" w:id="0">
    <w:p w14:paraId="4532D20E" w14:textId="77777777" w:rsidR="009E2566" w:rsidRDefault="009E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4666908D"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284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C604" w14:textId="77777777" w:rsidR="009E2566" w:rsidRDefault="009E2566">
      <w:pPr>
        <w:spacing w:after="0" w:line="240" w:lineRule="auto"/>
      </w:pPr>
      <w:r>
        <w:separator/>
      </w:r>
    </w:p>
  </w:footnote>
  <w:footnote w:type="continuationSeparator" w:id="0">
    <w:p w14:paraId="55DF29DA" w14:textId="77777777" w:rsidR="009E2566" w:rsidRDefault="009E2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19"/>
  </w:num>
  <w:num w:numId="6">
    <w:abstractNumId w:val="9"/>
  </w:num>
  <w:num w:numId="7">
    <w:abstractNumId w:val="7"/>
  </w:num>
  <w:num w:numId="8">
    <w:abstractNumId w:val="5"/>
  </w:num>
  <w:num w:numId="9">
    <w:abstractNumId w:val="10"/>
  </w:num>
  <w:num w:numId="10">
    <w:abstractNumId w:val="13"/>
  </w:num>
  <w:num w:numId="1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97E39"/>
    <w:rsid w:val="00127717"/>
    <w:rsid w:val="00127ECF"/>
    <w:rsid w:val="0014411D"/>
    <w:rsid w:val="00187F0D"/>
    <w:rsid w:val="001A0580"/>
    <w:rsid w:val="001D4850"/>
    <w:rsid w:val="001E26E2"/>
    <w:rsid w:val="001E7EE8"/>
    <w:rsid w:val="002B7BDB"/>
    <w:rsid w:val="002F6020"/>
    <w:rsid w:val="00326B7D"/>
    <w:rsid w:val="003329C4"/>
    <w:rsid w:val="003B26E4"/>
    <w:rsid w:val="003D0FAA"/>
    <w:rsid w:val="00413A74"/>
    <w:rsid w:val="00461317"/>
    <w:rsid w:val="004A4C05"/>
    <w:rsid w:val="0050120A"/>
    <w:rsid w:val="00531DC0"/>
    <w:rsid w:val="005415E1"/>
    <w:rsid w:val="0059697E"/>
    <w:rsid w:val="005A4522"/>
    <w:rsid w:val="005F0476"/>
    <w:rsid w:val="00602EEF"/>
    <w:rsid w:val="0062359C"/>
    <w:rsid w:val="006C107C"/>
    <w:rsid w:val="006C76F4"/>
    <w:rsid w:val="006C7B1F"/>
    <w:rsid w:val="00712412"/>
    <w:rsid w:val="0078054C"/>
    <w:rsid w:val="00781DE3"/>
    <w:rsid w:val="00796AA7"/>
    <w:rsid w:val="007A0523"/>
    <w:rsid w:val="007C2EB1"/>
    <w:rsid w:val="007D4FE8"/>
    <w:rsid w:val="00802A5B"/>
    <w:rsid w:val="00803570"/>
    <w:rsid w:val="00881881"/>
    <w:rsid w:val="008C1C4C"/>
    <w:rsid w:val="008F49DF"/>
    <w:rsid w:val="00903212"/>
    <w:rsid w:val="009479F7"/>
    <w:rsid w:val="00950202"/>
    <w:rsid w:val="0095619B"/>
    <w:rsid w:val="00984FB1"/>
    <w:rsid w:val="009A633F"/>
    <w:rsid w:val="009D3EE5"/>
    <w:rsid w:val="009E2566"/>
    <w:rsid w:val="009F4784"/>
    <w:rsid w:val="00A456BD"/>
    <w:rsid w:val="00A95F17"/>
    <w:rsid w:val="00A97D9A"/>
    <w:rsid w:val="00AC24B0"/>
    <w:rsid w:val="00AD3B99"/>
    <w:rsid w:val="00B330D4"/>
    <w:rsid w:val="00B668B7"/>
    <w:rsid w:val="00BA7B3D"/>
    <w:rsid w:val="00BC4B9E"/>
    <w:rsid w:val="00C127B0"/>
    <w:rsid w:val="00C518FA"/>
    <w:rsid w:val="00C67243"/>
    <w:rsid w:val="00C92F5F"/>
    <w:rsid w:val="00CB28F7"/>
    <w:rsid w:val="00CC6C05"/>
    <w:rsid w:val="00CE3AE1"/>
    <w:rsid w:val="00D07257"/>
    <w:rsid w:val="00DB788A"/>
    <w:rsid w:val="00E004A7"/>
    <w:rsid w:val="00E11038"/>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25BC63-C51F-477A-91B8-841DB9FF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38</Pages>
  <Words>62448</Words>
  <Characters>35596</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64</cp:revision>
  <dcterms:created xsi:type="dcterms:W3CDTF">2023-06-01T12:22:00Z</dcterms:created>
  <dcterms:modified xsi:type="dcterms:W3CDTF">2023-10-17T13:15:00Z</dcterms:modified>
</cp:coreProperties>
</file>