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highlight w:val="yellow"/>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Рішенням уповноваженої/відповідальної особи </w:t>
      </w:r>
    </w:p>
    <w:p>
      <w:pPr>
        <w:pStyle w:val="Normal"/>
        <w:spacing w:lineRule="auto" w:line="240" w:before="0" w:after="0"/>
        <w:ind w:left="1440" w:hanging="0"/>
        <w:jc w:val="center"/>
        <w:rPr>
          <w:highlight w:val="none"/>
          <w:shd w:fill="FFFFFF" w:val="clear"/>
        </w:rPr>
      </w:pP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від </w:t>
      </w:r>
      <w:r>
        <w:rPr>
          <w:rFonts w:eastAsia="Times New Roman" w:cs="Times New Roman" w:ascii="Times New Roman" w:hAnsi="Times New Roman"/>
          <w:b/>
          <w:bCs/>
          <w:sz w:val="24"/>
          <w:szCs w:val="24"/>
          <w:shd w:fill="FFFFFF" w:val="clear"/>
        </w:rPr>
        <w:t>23</w:t>
      </w:r>
      <w:r>
        <w:rPr>
          <w:rFonts w:eastAsia="Times New Roman" w:cs="Times New Roman" w:ascii="Times New Roman" w:hAnsi="Times New Roman"/>
          <w:b/>
          <w:bCs/>
          <w:sz w:val="24"/>
          <w:szCs w:val="24"/>
          <w:shd w:fill="FFFFFF" w:val="clear"/>
        </w:rPr>
        <w:t>.04.2024 р. Протокол № 1</w:t>
      </w:r>
      <w:r>
        <w:rPr>
          <w:rFonts w:eastAsia="Times New Roman" w:cs="Times New Roman" w:ascii="Times New Roman" w:hAnsi="Times New Roman"/>
          <w:b/>
          <w:bCs/>
          <w:sz w:val="24"/>
          <w:szCs w:val="24"/>
          <w:shd w:fill="FFFFFF" w:val="clear"/>
        </w:rPr>
        <w:t>45</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ТЕНДЕРНА ДОКУМЕНТАЦІЯ </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закупівлю  Товару</w:t>
      </w:r>
    </w:p>
    <w:p>
      <w:pPr>
        <w:pStyle w:val="Normal"/>
        <w:spacing w:lineRule="auto" w:line="240" w:before="240" w:after="0"/>
        <w:jc w:val="center"/>
        <w:rPr>
          <w:rFonts w:ascii="Times New Roman" w:hAnsi="Times New Roman"/>
          <w:b/>
          <w:b/>
          <w:bCs/>
          <w:sz w:val="32"/>
          <w:szCs w:val="32"/>
        </w:rPr>
      </w:pPr>
      <w:r>
        <w:rPr>
          <w:rFonts w:ascii="Times New Roman" w:hAnsi="Times New Roman"/>
          <w:b/>
          <w:bCs/>
          <w:i w:val="false"/>
          <w:caps w:val="false"/>
          <w:smallCaps w:val="false"/>
          <w:color w:val="000000"/>
          <w:spacing w:val="0"/>
          <w:sz w:val="32"/>
          <w:szCs w:val="32"/>
        </w:rPr>
        <w:t>Приладдя для образотворчого мистецтва, придбання якого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24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Код CPV за ДК 021:2015: 37820000-2 Приладдя для образотворчого мистецтва </w:t>
      </w:r>
    </w:p>
    <w:p>
      <w:pPr>
        <w:pStyle w:val="Normal"/>
        <w:spacing w:lineRule="auto" w:line="240" w:before="24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2024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1"/>
        <w:gridCol w:w="647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–з загальних питань, пов’язаних з наданням консультацій учасникам торгів.</w:t>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Приладдя для образотворчого мистецтва, придбання якого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Код CPV за ДК 021:2015: 37820000-2 Приладдя для образотворчого мистецтва</w:t>
            </w:r>
          </w:p>
          <w:p>
            <w:pPr>
              <w:pStyle w:val="Normal"/>
              <w:widowControl w:val="false"/>
              <w:spacing w:before="0" w:after="160"/>
              <w:ind w:hanging="0"/>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1" w:name="_GoBack"/>
            <w:bookmarkEnd w:id="1"/>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12"/>
              <w:widowControl w:val="false"/>
              <w:spacing w:lineRule="atLeast" w:line="0"/>
              <w:jc w:val="both"/>
              <w:rPr>
                <w:b w:val="false"/>
                <w:b w:val="false"/>
                <w:bCs w:val="false"/>
              </w:rPr>
            </w:pPr>
            <w:r>
              <w:rPr>
                <w:rFonts w:cs="Times New Roman" w:ascii="Times New Roman" w:hAnsi="Times New Roman"/>
                <w:b w:val="false"/>
                <w:bCs w:val="false"/>
                <w:sz w:val="24"/>
                <w:szCs w:val="24"/>
                <w:shd w:fill="FFFFFF" w:val="clear"/>
                <w:lang w:val="uk-UA"/>
              </w:rPr>
              <w:t>- 23210, Україна, Вінницька область, Вінницкий р-н, стм. Стижавка, Державна установа «Дитячий заклад оздоровлення та відпочинку ім. Юлії Рябчинскої (Вінницька обл.) Національної поліції України»</w:t>
            </w:r>
          </w:p>
          <w:p>
            <w:pPr>
              <w:pStyle w:val="Normal"/>
              <w:widowControl w:val="false"/>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before="0" w:after="160"/>
              <w:ind w:right="120" w:hanging="0"/>
              <w:jc w:val="both"/>
              <w:rPr>
                <w:b w:val="false"/>
                <w:b w:val="false"/>
                <w:bCs w:val="false"/>
              </w:rPr>
            </w:pPr>
            <w:r>
              <w:rPr>
                <w:rFonts w:cs="Times New Roman" w:ascii="Times New Roman" w:hAnsi="Times New Roman"/>
                <w:b w:val="false"/>
                <w:bCs w:val="false"/>
                <w:sz w:val="24"/>
                <w:shd w:fill="FFFFFF" w:val="clear"/>
              </w:rPr>
              <w:t>Кількість: 561 одиниць.</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 xml:space="preserve">До </w:t>
            </w:r>
            <w:r>
              <w:rPr>
                <w:rFonts w:cs="Times New Roman" w:ascii="Times New Roman" w:hAnsi="Times New Roman"/>
                <w:bCs/>
                <w:sz w:val="24"/>
                <w:shd w:fill="FFFFFF" w:val="clear"/>
                <w:lang w:val="uk-UA"/>
              </w:rPr>
              <w:t>22</w:t>
            </w:r>
            <w:r>
              <w:rPr>
                <w:rFonts w:cs="Times New Roman" w:ascii="Times New Roman" w:hAnsi="Times New Roman"/>
                <w:bCs/>
                <w:sz w:val="24"/>
                <w:shd w:fill="FFFFFF" w:val="clear"/>
                <w:lang w:val="uk-UA"/>
              </w:rPr>
              <w:t>.05.2024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Очікувана вартість закупівлі — 83 000,00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b w:val="false"/>
                <w:bCs w:val="false"/>
                <w:color w:val="000000"/>
                <w:sz w:val="22"/>
                <w:szCs w:val="22"/>
                <w:shd w:fill="FFFFFF" w:val="clear"/>
                <w:lang w:val="uk-UA" w:eastAsia="hi-IN" w:bidi="hi-IN"/>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 xml:space="preserve"> </w:t>
            </w: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Мова тендерної пропозиції – українська.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Замовник повинен </w:t>
            </w:r>
            <w:r>
              <w:rPr>
                <w:rFonts w:eastAsia="Times New Roman" w:cs="Times New Roman" w:ascii="Times New Roman" w:hAnsi="Times New Roman"/>
                <w:b/>
                <w:i/>
                <w:sz w:val="24"/>
                <w:szCs w:val="24"/>
                <w:u w:val="single"/>
              </w:rPr>
              <w:t>протягом трьох днів</w:t>
            </w:r>
            <w:r>
              <w:rPr>
                <w:rFonts w:eastAsia="Times New Roman" w:cs="Times New Roman" w:ascii="Times New Roman" w:hAnsi="Times New Roman"/>
                <w:sz w:val="24"/>
                <w:szCs w:val="24"/>
                <w:u w:val="singl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shd w:fill="FFFFFF" w:val="clear"/>
                <w:lang w:eastAsia="hi-IN" w:bidi="hi-IN"/>
              </w:rPr>
              <w:t>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lang w:eastAsia="hi-IN" w:bidi="hi-IN"/>
              </w:rPr>
              <w:t>;</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p>
            <w:pPr>
              <w:pStyle w:val="Normal"/>
              <w:widowControl w:val="false"/>
              <w:spacing w:before="0" w:after="160"/>
              <w:ind w:right="120" w:hanging="0"/>
              <w:jc w:val="both"/>
              <w:rPr>
                <w:lang w:eastAsia="hi-IN" w:bidi="hi-IN"/>
              </w:rPr>
            </w:pPr>
            <w:r>
              <w:rPr>
                <w:lang w:eastAsia="hi-IN" w:bidi="hi-IN"/>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bCs/>
                <w:sz w:val="24"/>
                <w:szCs w:val="24"/>
              </w:rPr>
              <w:t>01</w:t>
            </w:r>
            <w:r>
              <w:rPr>
                <w:rFonts w:eastAsia="Times New Roman" w:cs="Times New Roman" w:ascii="Times New Roman" w:hAnsi="Times New Roman"/>
                <w:b/>
                <w:bCs/>
                <w:color w:val="000000"/>
                <w:sz w:val="24"/>
                <w:szCs w:val="24"/>
                <w:shd w:fill="FFFFFF" w:val="clear"/>
              </w:rPr>
              <w:t>.0</w:t>
            </w:r>
            <w:r>
              <w:rPr>
                <w:rFonts w:eastAsia="Times New Roman" w:cs="Times New Roman" w:ascii="Times New Roman" w:hAnsi="Times New Roman"/>
                <w:b/>
                <w:bCs/>
                <w:color w:val="000000"/>
                <w:sz w:val="24"/>
                <w:szCs w:val="24"/>
                <w:shd w:fill="FFFFFF" w:val="clear"/>
              </w:rPr>
              <w:t>5</w:t>
            </w:r>
            <w:r>
              <w:rPr>
                <w:rFonts w:eastAsia="Times New Roman" w:cs="Times New Roman" w:ascii="Times New Roman" w:hAnsi="Times New Roman"/>
                <w:b/>
                <w:bCs/>
                <w:color w:val="000000"/>
                <w:sz w:val="24"/>
                <w:szCs w:val="24"/>
                <w:shd w:fill="FFFFFF" w:val="clear"/>
              </w:rPr>
              <w:t>.2024 року, 17:00 год</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w:t>
            </w:r>
            <w:r>
              <w:rPr>
                <w:rFonts w:eastAsia="Times New Roman" w:cs="Times New Roman" w:ascii="Times New Roman" w:hAnsi="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w:t>
            </w:r>
            <w:r>
              <w:rPr>
                <w:rStyle w:val="Strong"/>
                <w:rFonts w:eastAsia="Times New Roman" w:cs="Times New Roman" w:ascii="Times New Roman" w:hAnsi="Times New Roman"/>
                <w:b w:val="false"/>
                <w:i w:val="false"/>
                <w:caps w:val="false"/>
                <w:smallCaps w:val="false"/>
                <w:color w:val="000000"/>
                <w:spacing w:val="0"/>
                <w:sz w:val="24"/>
                <w:szCs w:val="24"/>
              </w:rPr>
              <w:t xml:space="preserve">/Ісламської Республіки Іран </w:t>
            </w:r>
            <w:r>
              <w:rPr>
                <w:rFonts w:eastAsia="Times New Roman" w:cs="Times New Roman" w:ascii="Times New Roman" w:hAnsi="Times New Roman"/>
                <w:color w:val="000000"/>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val="false"/>
                <w:i w:val="false"/>
                <w:caps w:val="false"/>
                <w:smallCaps w:val="false"/>
                <w:color w:val="000000"/>
                <w:spacing w:val="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19"/>
        <w:gridCol w:w="521"/>
        <w:gridCol w:w="31"/>
        <w:gridCol w:w="49"/>
        <w:gridCol w:w="3858"/>
        <w:gridCol w:w="5447"/>
      </w:tblGrid>
      <w:tr>
        <w:trPr/>
        <w:tc>
          <w:tcPr>
            <w:tcW w:w="219"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19"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0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19"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19"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19"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19"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19"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19"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9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19"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54"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двох 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19"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qFormat/>
    <w:rPr>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6880201-440A-4076-8434-A11B9B669D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6991</TotalTime>
  <Application>LibreOffice/7.4.2.3$Windows_X86_64 LibreOffice_project/382eef1f22670f7f4118c8c2dd222ec7ad009daf</Application>
  <AppVersion>15.0000</AppVersion>
  <Pages>38</Pages>
  <Words>9627</Words>
  <Characters>66351</Characters>
  <CharactersWithSpaces>75794</CharactersWithSpaces>
  <Paragraphs>520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2024-04-23T21:07:10Z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file>