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88" w:rsidRPr="005855C4" w:rsidRDefault="00527288" w:rsidP="005272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F956F6">
        <w:rPr>
          <w:rFonts w:ascii="Times New Roman" w:hAnsi="Times New Roman" w:cs="Times New Roman"/>
          <w:sz w:val="18"/>
          <w:szCs w:val="18"/>
        </w:rPr>
        <w:t xml:space="preserve">ДОДАТОК </w:t>
      </w:r>
      <w:r>
        <w:rPr>
          <w:rFonts w:ascii="Times New Roman" w:hAnsi="Times New Roman" w:cs="Times New Roman"/>
          <w:sz w:val="18"/>
          <w:szCs w:val="18"/>
          <w:lang w:val="uk-UA"/>
        </w:rPr>
        <w:t>3</w:t>
      </w:r>
    </w:p>
    <w:p w:rsidR="00527288" w:rsidRPr="00F956F6" w:rsidRDefault="00527288" w:rsidP="005272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56F6">
        <w:rPr>
          <w:rFonts w:ascii="Times New Roman" w:hAnsi="Times New Roman" w:cs="Times New Roman"/>
          <w:sz w:val="18"/>
          <w:szCs w:val="18"/>
        </w:rPr>
        <w:t xml:space="preserve">до </w:t>
      </w:r>
      <w:proofErr w:type="spellStart"/>
      <w:r w:rsidRPr="00F956F6">
        <w:rPr>
          <w:rFonts w:ascii="Times New Roman" w:hAnsi="Times New Roman" w:cs="Times New Roman"/>
          <w:sz w:val="18"/>
          <w:szCs w:val="18"/>
        </w:rPr>
        <w:t>тендерної</w:t>
      </w:r>
      <w:proofErr w:type="spellEnd"/>
      <w:r w:rsidRPr="00F956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56F6">
        <w:rPr>
          <w:rFonts w:ascii="Times New Roman" w:hAnsi="Times New Roman" w:cs="Times New Roman"/>
          <w:sz w:val="18"/>
          <w:szCs w:val="18"/>
        </w:rPr>
        <w:t>документації</w:t>
      </w:r>
      <w:proofErr w:type="spellEnd"/>
      <w:r w:rsidRPr="00F956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7288" w:rsidRPr="00B35F92" w:rsidRDefault="00527288" w:rsidP="00527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88" w:rsidRPr="00C231BB" w:rsidRDefault="00527288" w:rsidP="00527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1BB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231B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231BB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C23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1BB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C231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31BB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C231B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231BB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C231BB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</w:p>
    <w:p w:rsidR="00CE37DB" w:rsidRPr="0022183D" w:rsidRDefault="00527288" w:rsidP="00CE37DB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47139">
        <w:rPr>
          <w:rFonts w:ascii="Times New Roman" w:hAnsi="Times New Roman"/>
          <w:b/>
          <w:sz w:val="24"/>
          <w:szCs w:val="24"/>
        </w:rPr>
        <w:t xml:space="preserve">предмета </w:t>
      </w:r>
      <w:proofErr w:type="spellStart"/>
      <w:r w:rsidRPr="00047139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047139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047139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047139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021:2015  —</w:t>
      </w:r>
      <w:r w:rsidR="00CE37DB" w:rsidRPr="000471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33690000-3 Лікарські засоби різні</w:t>
      </w:r>
      <w:r w:rsidR="00CE37DB" w:rsidRPr="0004713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E37DB" w:rsidRPr="0004713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37DB" w:rsidRPr="001D2420">
        <w:rPr>
          <w:rFonts w:ascii="Times New Roman" w:hAnsi="Times New Roman"/>
          <w:b/>
          <w:bCs/>
          <w:sz w:val="24"/>
          <w:szCs w:val="24"/>
          <w:lang w:val="uk-UA"/>
        </w:rPr>
        <w:t xml:space="preserve">(Швидкий тест для виявлення антитіл вірусу до гепатиту С, тест картка (цільна кров/сироватка/плазма), комплект включає розчинник та </w:t>
      </w:r>
      <w:proofErr w:type="spellStart"/>
      <w:r w:rsidR="00CE37DB" w:rsidRPr="001D2420">
        <w:rPr>
          <w:rFonts w:ascii="Times New Roman" w:hAnsi="Times New Roman"/>
          <w:b/>
          <w:bCs/>
          <w:sz w:val="24"/>
          <w:szCs w:val="24"/>
          <w:lang w:val="uk-UA"/>
        </w:rPr>
        <w:t>піпетки-</w:t>
      </w:r>
      <w:proofErr w:type="spellEnd"/>
      <w:r w:rsidR="00CE37DB" w:rsidRPr="005A41C7">
        <w:rPr>
          <w:rFonts w:ascii="Times New Roman" w:hAnsi="Times New Roman"/>
          <w:b/>
          <w:color w:val="454545"/>
          <w:sz w:val="24"/>
          <w:szCs w:val="24"/>
          <w:shd w:val="clear" w:color="auto" w:fill="F0F5F2"/>
          <w:lang w:val="uk-UA"/>
        </w:rPr>
        <w:t>(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НК 024:2019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53998 -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Т /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37DB" w:rsidRPr="001D2420">
        <w:rPr>
          <w:rFonts w:ascii="Times New Roman" w:hAnsi="Times New Roman"/>
          <w:b/>
          <w:sz w:val="24"/>
          <w:szCs w:val="24"/>
        </w:rPr>
        <w:t>I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37DB" w:rsidRPr="001D2420">
        <w:rPr>
          <w:rFonts w:ascii="Times New Roman" w:hAnsi="Times New Roman"/>
          <w:b/>
          <w:sz w:val="24"/>
          <w:szCs w:val="24"/>
        </w:rPr>
        <w:t>IVD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, набір,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імунохроматографічний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аналіз (ІХА), експрес-тест)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гепатиту В </w:t>
      </w:r>
      <w:proofErr w:type="spellStart"/>
      <w:r w:rsidR="00CE37DB" w:rsidRPr="001D2420">
        <w:rPr>
          <w:rFonts w:ascii="Times New Roman" w:hAnsi="Times New Roman"/>
          <w:b/>
          <w:sz w:val="24"/>
          <w:szCs w:val="24"/>
        </w:rPr>
        <w:t>HBsAg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,  тест картка (цільна кров/сироватка/плазма), комплект включає піпетки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 (НК 024:2019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30830 - Швидкий тестовий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пристрій для ідентифікації поверхневого антигену вірусу гепатиту В (</w:t>
      </w:r>
      <w:proofErr w:type="spellStart"/>
      <w:r w:rsidR="00CE37DB" w:rsidRPr="001D2420">
        <w:rPr>
          <w:rFonts w:ascii="Times New Roman" w:hAnsi="Times New Roman"/>
          <w:b/>
          <w:sz w:val="24"/>
          <w:szCs w:val="24"/>
        </w:rPr>
        <w:t>HBsAg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)); Швидкий тест для виявлення антитіл вірусу до гепатиту С, тест картка (цільна кров/сироватка/плазма), комплект включає розчинник та піпетки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( НК 024:2019 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30829 - Набір для якісного та / або кількісного визначення загальних антитіл до вірусу гепатиту С (</w:t>
      </w:r>
      <w:proofErr w:type="spellStart"/>
      <w:r w:rsidR="00CE37DB" w:rsidRPr="001D2420">
        <w:rPr>
          <w:rFonts w:ascii="Times New Roman" w:hAnsi="Times New Roman"/>
          <w:b/>
          <w:sz w:val="24"/>
          <w:szCs w:val="24"/>
        </w:rPr>
        <w:t>Hepatitis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37DB" w:rsidRPr="001D2420">
        <w:rPr>
          <w:rFonts w:ascii="Times New Roman" w:hAnsi="Times New Roman"/>
          <w:b/>
          <w:sz w:val="24"/>
          <w:szCs w:val="24"/>
        </w:rPr>
        <w:t>C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), експрес-аналіз)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антитіл </w:t>
      </w:r>
      <w:proofErr w:type="spellStart"/>
      <w:r w:rsidR="00CE37DB" w:rsidRPr="001D2420">
        <w:rPr>
          <w:rFonts w:ascii="Times New Roman" w:hAnsi="Times New Roman"/>
          <w:b/>
          <w:sz w:val="24"/>
          <w:szCs w:val="24"/>
        </w:rPr>
        <w:t>IgM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до вірусу гепатиту </w:t>
      </w:r>
      <w:r w:rsidR="00CE37DB" w:rsidRPr="001D2420">
        <w:rPr>
          <w:rFonts w:ascii="Times New Roman" w:hAnsi="Times New Roman"/>
          <w:b/>
          <w:sz w:val="24"/>
          <w:szCs w:val="24"/>
        </w:rPr>
        <w:t>A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, тест картка (цільна кров/сироватка/плазма), комплект включає пляшку для зразка з розчинником, піпетку 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 xml:space="preserve">; Смужки діагностичні типу </w:t>
      </w:r>
      <w:proofErr w:type="spellStart"/>
      <w:r w:rsidR="00CE37DB">
        <w:rPr>
          <w:rFonts w:ascii="Times New Roman" w:hAnsi="Times New Roman"/>
          <w:b/>
          <w:sz w:val="24"/>
          <w:szCs w:val="24"/>
          <w:lang w:val="en-US"/>
        </w:rPr>
        <w:t>UrineRS</w:t>
      </w:r>
      <w:proofErr w:type="spellEnd"/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37DB">
        <w:rPr>
          <w:rFonts w:ascii="Times New Roman" w:hAnsi="Times New Roman"/>
          <w:b/>
          <w:sz w:val="24"/>
          <w:szCs w:val="24"/>
          <w:lang w:val="en-US"/>
        </w:rPr>
        <w:t>H</w:t>
      </w:r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 xml:space="preserve"> 10 №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 xml:space="preserve">100; Експрес тест для визначення </w:t>
      </w:r>
      <w:proofErr w:type="spellStart"/>
      <w:r w:rsidR="00CE37DB">
        <w:rPr>
          <w:rFonts w:ascii="Times New Roman" w:hAnsi="Times New Roman"/>
          <w:b/>
          <w:sz w:val="24"/>
          <w:szCs w:val="24"/>
          <w:lang w:val="uk-UA"/>
        </w:rPr>
        <w:t>антигена</w:t>
      </w:r>
      <w:proofErr w:type="spellEnd"/>
      <w:r w:rsidR="00CE37DB">
        <w:rPr>
          <w:rFonts w:ascii="Times New Roman" w:hAnsi="Times New Roman"/>
          <w:b/>
          <w:sz w:val="24"/>
          <w:szCs w:val="24"/>
          <w:lang w:val="uk-UA"/>
        </w:rPr>
        <w:t xml:space="preserve"> до вірусу </w:t>
      </w:r>
      <w:r w:rsidR="00CE37DB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>-19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 ( НК 024:2019 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30722 Набір реагентів для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визначення антитіл до вірусу гепатиту А з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імуноглобуліном </w:t>
      </w:r>
      <w:r w:rsidR="00CE37DB" w:rsidRPr="001D2420">
        <w:rPr>
          <w:rFonts w:ascii="Times New Roman" w:hAnsi="Times New Roman"/>
          <w:b/>
          <w:sz w:val="24"/>
          <w:szCs w:val="24"/>
        </w:rPr>
        <w:t>M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);</w:t>
      </w:r>
      <w:r w:rsidR="00CE37DB" w:rsidRPr="005A41C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Швидкий тест для </w:t>
      </w:r>
      <w:r w:rsidR="00CE37DB" w:rsidRPr="001D24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визначення прихованої крові №1( НК 024:2019 38217 Прихована кров  у калі, швидкий тест); 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Швидкий тест для визначення вагітності №1( НК 024:2019  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54212 Загальний</w:t>
      </w:r>
      <w:r w:rsidR="00CE37DB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хоріонічний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гонадотропін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людини (ХГЛ) </w:t>
      </w:r>
      <w:r w:rsidR="00CE37DB" w:rsidRPr="001D2420">
        <w:rPr>
          <w:rFonts w:ascii="Times New Roman" w:hAnsi="Times New Roman"/>
          <w:b/>
          <w:sz w:val="24"/>
          <w:szCs w:val="24"/>
        </w:rPr>
        <w:t>IVD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, реагент)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</w:t>
      </w:r>
      <w:r w:rsidR="00CE37DB" w:rsidRPr="001D2420">
        <w:rPr>
          <w:rFonts w:ascii="Times New Roman" w:hAnsi="Times New Roman"/>
          <w:b/>
          <w:sz w:val="24"/>
          <w:szCs w:val="24"/>
        </w:rPr>
        <w:t>PSA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, тест картка (цільна кров/сироватка/плазма), комплект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 xml:space="preserve"> включає піпетки(</w:t>
      </w:r>
      <w:r w:rsidR="00CE37DB" w:rsidRPr="005A41C7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НК 024:2019 код 54677 Загальний простатичний специфічний антиген (ПСА) </w:t>
      </w:r>
      <w:r w:rsidR="00CE37DB" w:rsidRPr="001D24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IVD</w:t>
      </w:r>
      <w:r w:rsidR="00CE37DB" w:rsidRPr="005A41C7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, реагент)</w:t>
      </w:r>
      <w:r w:rsidR="00CE37DB" w:rsidRPr="001D2420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холестерину №25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код НК 024:2019 47006 Швидкий тестовий пристрій загального холестерину / </w:t>
      </w:r>
      <w:proofErr w:type="spellStart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ліпобілка</w:t>
      </w:r>
      <w:proofErr w:type="spellEnd"/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високої щільності)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глюкози в крові №50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НК 024:2019 58168 - Система контролю рівня глюкози в крові / кетонів ІВД для домашнього використання / пункті догляду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);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глюкози в крові №25</w:t>
      </w:r>
      <w:r w:rsidR="00CE37DB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CE37DB" w:rsidRPr="005A41C7">
        <w:rPr>
          <w:rFonts w:ascii="Times New Roman" w:hAnsi="Times New Roman"/>
          <w:b/>
          <w:sz w:val="24"/>
          <w:szCs w:val="24"/>
          <w:lang w:val="uk-UA"/>
        </w:rPr>
        <w:t>НК 024:2019 58168 - Система контролю рівня глюкози в крові / кетонів ІВД для домашнього використання / пункті догляду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22183D">
        <w:rPr>
          <w:lang w:val="uk-UA"/>
        </w:rPr>
        <w:t xml:space="preserve"> </w:t>
      </w:r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>43539-Тест-смужки діагностичні для аналізу сечі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>;</w:t>
      </w:r>
      <w:r w:rsidR="00CE37DB" w:rsidRPr="0022183D">
        <w:rPr>
          <w:lang w:val="uk-UA"/>
        </w:rPr>
        <w:t xml:space="preserve"> </w:t>
      </w:r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 xml:space="preserve">50280 – </w:t>
      </w:r>
      <w:proofErr w:type="spellStart"/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>Коронавірус</w:t>
      </w:r>
      <w:proofErr w:type="spellEnd"/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 xml:space="preserve"> (SARS-CoV), антигени IVD, набір, </w:t>
      </w:r>
      <w:proofErr w:type="spellStart"/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>імунохроматографічний</w:t>
      </w:r>
      <w:proofErr w:type="spellEnd"/>
      <w:r w:rsidR="00CE37DB" w:rsidRPr="0022183D">
        <w:rPr>
          <w:rFonts w:ascii="Times New Roman" w:hAnsi="Times New Roman"/>
          <w:b/>
          <w:sz w:val="24"/>
          <w:szCs w:val="24"/>
          <w:lang w:val="uk-UA"/>
        </w:rPr>
        <w:t>, експрес-аналіз)</w:t>
      </w:r>
      <w:r w:rsidR="00CE37D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E37DB" w:rsidRPr="00263CCF" w:rsidRDefault="00CE37DB" w:rsidP="00CE37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288" w:rsidRPr="001D2420" w:rsidRDefault="00527288" w:rsidP="00527288">
      <w:pPr>
        <w:pStyle w:val="a3"/>
        <w:rPr>
          <w:rFonts w:ascii="Times New Roman" w:hAnsi="Times New Roman"/>
          <w:bCs/>
          <w:sz w:val="20"/>
          <w:szCs w:val="20"/>
          <w:lang w:val="uk-UA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709"/>
        <w:gridCol w:w="567"/>
        <w:gridCol w:w="6946"/>
        <w:gridCol w:w="426"/>
      </w:tblGrid>
      <w:tr w:rsidR="00527288" w:rsidRPr="00385ABC" w:rsidTr="00595888">
        <w:trPr>
          <w:cantSplit/>
          <w:trHeight w:val="1595"/>
        </w:trPr>
        <w:tc>
          <w:tcPr>
            <w:tcW w:w="568" w:type="dxa"/>
            <w:shd w:val="clear" w:color="auto" w:fill="auto"/>
            <w:vAlign w:val="center"/>
            <w:hideMark/>
          </w:tcPr>
          <w:p w:rsidR="00527288" w:rsidRPr="00385ABC" w:rsidRDefault="00527288" w:rsidP="003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№ </w:t>
            </w: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/</w:t>
            </w:r>
            <w:proofErr w:type="spellStart"/>
            <w:proofErr w:type="gram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288" w:rsidRPr="00385ABC" w:rsidRDefault="00527288" w:rsidP="003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предмету </w:t>
            </w: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закупі</w:t>
            </w:r>
            <w:proofErr w:type="gram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вл</w:t>
            </w:r>
            <w:proofErr w:type="gram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/ товару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27288" w:rsidRPr="00385ABC" w:rsidRDefault="00527288" w:rsidP="003069F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85AB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</w:t>
            </w: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ількість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27288" w:rsidRPr="00385ABC" w:rsidRDefault="00527288" w:rsidP="003069F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Одиниця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27288" w:rsidRPr="00385ABC" w:rsidRDefault="00527288" w:rsidP="003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Технічні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характеристики</w:t>
            </w:r>
          </w:p>
        </w:tc>
        <w:tc>
          <w:tcPr>
            <w:tcW w:w="426" w:type="dxa"/>
            <w:textDirection w:val="btLr"/>
            <w:vAlign w:val="center"/>
          </w:tcPr>
          <w:p w:rsidR="00527288" w:rsidRPr="00385ABC" w:rsidRDefault="00527288" w:rsidP="003069F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385A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Відповідність</w:t>
            </w:r>
            <w:proofErr w:type="spellEnd"/>
            <w:r w:rsidRPr="00385A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385ABC">
              <w:rPr>
                <w:rFonts w:ascii="Times New Roman" w:hAnsi="Times New Roman"/>
                <w:b/>
                <w:sz w:val="20"/>
                <w:szCs w:val="20"/>
              </w:rPr>
              <w:t>(так/</w:t>
            </w:r>
            <w:proofErr w:type="spellStart"/>
            <w:r w:rsidRPr="00385ABC">
              <w:rPr>
                <w:rFonts w:ascii="Times New Roman" w:hAnsi="Times New Roman"/>
                <w:b/>
                <w:sz w:val="20"/>
                <w:szCs w:val="20"/>
              </w:rPr>
              <w:t>ні</w:t>
            </w:r>
            <w:proofErr w:type="spellEnd"/>
            <w:r w:rsidRPr="00385AB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95888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визначення 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Тропоніну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 xml:space="preserve"> І,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TRO-W23, №1.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CE37DB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588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noWrap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 xml:space="preserve">Тест для визначення 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Тропоніну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 xml:space="preserve"> І, TRO-W23, №1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   15 – 30 С. 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цільна кров, сироватка, плазма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10 хв.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не нижче 99,00%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не нижче 99,00%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proofErr w:type="spellStart"/>
            <w:r w:rsidRPr="00595888">
              <w:rPr>
                <w:color w:val="000000"/>
                <w:sz w:val="22"/>
                <w:szCs w:val="22"/>
              </w:rPr>
              <w:t>Пороговий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рівень чутливості 0,5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нг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Тест – системи мають формат тест – касети та кожен тест має бути </w:t>
            </w:r>
            <w:r w:rsidRPr="00595888">
              <w:rPr>
                <w:color w:val="000000"/>
                <w:sz w:val="22"/>
                <w:szCs w:val="22"/>
              </w:rPr>
              <w:lastRenderedPageBreak/>
              <w:t xml:space="preserve">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небулою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з реагентом у кожному тесті, інструкцією українською мовою.</w:t>
            </w:r>
          </w:p>
          <w:p w:rsidR="00527288" w:rsidRPr="00595888" w:rsidRDefault="00527288" w:rsidP="003069F0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95888">
              <w:rPr>
                <w:rFonts w:ascii="Times New Roman" w:hAnsi="Times New Roman"/>
                <w:lang w:eastAsia="uk-UA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 Гепатиту В (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HBsAg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>), W003-C,№1.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527288" w:rsidRPr="00595888" w:rsidRDefault="00527288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CE37DB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588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noWrap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 Гепатиту В (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HBsAg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>), W003-C, №1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       10 – 30 С. 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цільна кров, сироватка, плазма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Отримання результатів: 15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хв</w:t>
            </w:r>
            <w:proofErr w:type="spellEnd"/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дорівнює 100,00%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не нижче 99,00%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proofErr w:type="spellStart"/>
            <w:r w:rsidRPr="00595888">
              <w:rPr>
                <w:color w:val="000000"/>
                <w:sz w:val="22"/>
                <w:szCs w:val="22"/>
              </w:rPr>
              <w:t>Пороговий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рівень чутливості - 1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нг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небулою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з реагентом у кожному тесті, інструкцією українською мовою.</w:t>
            </w:r>
          </w:p>
          <w:p w:rsidR="00527288" w:rsidRPr="00595888" w:rsidRDefault="00527288" w:rsidP="003069F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7288" w:rsidRPr="00595888" w:rsidTr="00595888">
        <w:trPr>
          <w:trHeight w:val="624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9588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Тест для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виявлення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Гепатиту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С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(HCV), W005-C</w:t>
            </w:r>
            <w:r w:rsidR="0059588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, №1.</w:t>
            </w:r>
          </w:p>
          <w:p w:rsidR="00263CCF" w:rsidRPr="00595888" w:rsidRDefault="00263CCF" w:rsidP="00263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527288" w:rsidRPr="00595888" w:rsidRDefault="00527288" w:rsidP="00263C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CE37DB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</w:t>
            </w:r>
            <w:r w:rsidR="00527288" w:rsidRPr="00595888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588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noWrap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 Гепатиту С (HCV), W005-C, №1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 10 – 30 С. 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цільна кров, сироватка, плазма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15 – 30 хв.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дорівнює 100,00%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не нижче 99,00%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527288" w:rsidRPr="00595888" w:rsidRDefault="00263CCF" w:rsidP="00263CCF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595888">
              <w:rPr>
                <w:rFonts w:ascii="Times New Roman" w:hAnsi="Times New Roman"/>
                <w:color w:val="000000"/>
              </w:rPr>
              <w:t xml:space="preserve">Тест –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системи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формат тест –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касети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кожен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тест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індивідуально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укомплектований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необхідними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складовими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тестування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: одноразовою </w:t>
            </w:r>
            <w:proofErr w:type="spellStart"/>
            <w:proofErr w:type="gramStart"/>
            <w:r w:rsidRPr="0059588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95888">
              <w:rPr>
                <w:rFonts w:ascii="Times New Roman" w:hAnsi="Times New Roman"/>
                <w:color w:val="000000"/>
              </w:rPr>
              <w:t>іпеткою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, буфером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небулою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реагентом у кожному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тесті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>,  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інструкцією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українською</w:t>
            </w:r>
            <w:proofErr w:type="spellEnd"/>
            <w:r w:rsidRPr="00595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/>
                <w:color w:val="000000"/>
              </w:rPr>
              <w:t>мовою</w:t>
            </w:r>
            <w:proofErr w:type="spellEnd"/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95888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 xml:space="preserve">Тест для виявлення антитіл до гепатиту А 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IgM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HAV-W23, №1.</w:t>
            </w:r>
          </w:p>
          <w:p w:rsidR="00527288" w:rsidRPr="00595888" w:rsidRDefault="00527288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CE37DB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1</w:t>
            </w:r>
            <w:r w:rsidR="00527288" w:rsidRPr="00595888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spellStart"/>
            <w:proofErr w:type="gramStart"/>
            <w:r w:rsidRPr="00595888">
              <w:rPr>
                <w:rFonts w:ascii="Times New Roman" w:eastAsia="SimSun" w:hAnsi="Times New Roman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noWrap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 xml:space="preserve">Тест для виявлення антитіл до гепатиту А </w:t>
            </w:r>
            <w:proofErr w:type="spellStart"/>
            <w:r w:rsidRPr="00595888">
              <w:rPr>
                <w:bCs/>
                <w:color w:val="000000"/>
                <w:sz w:val="22"/>
                <w:szCs w:val="22"/>
              </w:rPr>
              <w:t>IgM</w:t>
            </w:r>
            <w:proofErr w:type="spellEnd"/>
            <w:r w:rsidRPr="00595888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HAV-W23, №1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       15 – 30 С. 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цільна кров, сироватка, плазма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15 хв.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 w:line="192" w:lineRule="auto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не нижче 99,00%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 w:line="192" w:lineRule="auto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не нижче 99,00%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Тест – системи мають формат тест – касети та індивідуально укомплектовані необхідними складовими для проведення тестування: </w:t>
            </w:r>
            <w:r w:rsidRPr="00595888">
              <w:rPr>
                <w:color w:val="000000"/>
                <w:sz w:val="22"/>
                <w:szCs w:val="22"/>
              </w:rPr>
              <w:lastRenderedPageBreak/>
              <w:t xml:space="preserve">одноразовою піпеткою, розчинником у буфері або у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небулі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, інструкцією українською мовою.</w:t>
            </w:r>
          </w:p>
          <w:p w:rsidR="00527288" w:rsidRPr="00595888" w:rsidRDefault="00527288" w:rsidP="003069F0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95888">
              <w:rPr>
                <w:rFonts w:ascii="Times New Roman" w:hAnsi="Times New Roman"/>
                <w:lang w:eastAsia="uk-UA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Тест для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виявлення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прихованої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крові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калі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, W030-C</w:t>
            </w:r>
            <w:r w:rsidR="0059588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, №1.</w:t>
            </w:r>
          </w:p>
          <w:p w:rsidR="00263CCF" w:rsidRPr="00595888" w:rsidRDefault="00263CCF" w:rsidP="00263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527288" w:rsidRPr="00595888" w:rsidRDefault="00527288" w:rsidP="00DD3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CE37DB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spellStart"/>
            <w:proofErr w:type="gramStart"/>
            <w:r w:rsidRPr="00595888">
              <w:rPr>
                <w:rFonts w:ascii="Times New Roman" w:eastAsia="SimSun" w:hAnsi="Times New Roman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 прихованої крові в калі, W030-C, №1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10 хв.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Матеріал для досліджень – фекалії 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 від +10° С до +30 ° С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 w:line="192" w:lineRule="auto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100,00%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 w:line="192" w:lineRule="auto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99,60%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 при температурі  від +2° С до +30° С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Тест – системи мають формат тест – касети та індивідуально укомплектовані необхідними складовими для проведення тестування: тест-касетою, пробіркою з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аплікатором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та розчинником, інструкцією українською мовою.</w:t>
            </w:r>
          </w:p>
          <w:p w:rsidR="00527288" w:rsidRPr="00595888" w:rsidRDefault="00527288" w:rsidP="003069F0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871C2" w:rsidRPr="00595888" w:rsidRDefault="006871C2" w:rsidP="003069F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595888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 вагітності, W1-S</w:t>
            </w:r>
            <w:r w:rsidR="00595888">
              <w:rPr>
                <w:bCs/>
                <w:color w:val="000000"/>
                <w:sz w:val="22"/>
                <w:szCs w:val="22"/>
              </w:rPr>
              <w:t>, №1.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527288" w:rsidRPr="00595888" w:rsidRDefault="00527288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proofErr w:type="spellStart"/>
            <w:r w:rsidRPr="00595888">
              <w:rPr>
                <w:rFonts w:ascii="Times New Roman" w:eastAsia="SimSun" w:hAnsi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946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виявлення вагітності, W1-S, №1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  15– 30 С. Тест-смужка, зразок для тестування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сеча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3-5 хв.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Чутливість тесту для виявлення вагітності виявляє ХГЛ у сечі в концентрації 20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мМО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мл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або вище. 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 при температурі (t від +2 до +30° С)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Тест – системи мають формат індивідуально упакованої тест – смужки, укомплектовані  інструкцією українською мовою.</w:t>
            </w:r>
          </w:p>
          <w:p w:rsidR="00527288" w:rsidRPr="00595888" w:rsidRDefault="00527288" w:rsidP="005272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27288" w:rsidRPr="00595888" w:rsidTr="00595888">
        <w:trPr>
          <w:trHeight w:val="936"/>
        </w:trPr>
        <w:tc>
          <w:tcPr>
            <w:tcW w:w="568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595888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Тест для визначення простат-специфічного антигену (ПСА),</w:t>
            </w:r>
            <w:r w:rsidRPr="00595888">
              <w:rPr>
                <w:color w:val="000000"/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>PSA-W23M, комплект</w:t>
            </w:r>
            <w:r w:rsidR="00595888">
              <w:rPr>
                <w:bCs/>
                <w:color w:val="000000"/>
                <w:sz w:val="22"/>
                <w:szCs w:val="22"/>
              </w:rPr>
              <w:t>,№1.</w:t>
            </w:r>
          </w:p>
          <w:p w:rsidR="00527288" w:rsidRPr="00595888" w:rsidRDefault="00527288" w:rsidP="00595888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567" w:type="dxa"/>
          </w:tcPr>
          <w:p w:rsidR="00527288" w:rsidRPr="00595888" w:rsidRDefault="00527288" w:rsidP="003069F0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proofErr w:type="spellStart"/>
            <w:r w:rsidRPr="00595888">
              <w:rPr>
                <w:rFonts w:ascii="Times New Roman" w:eastAsia="SimSun" w:hAnsi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946" w:type="dxa"/>
            <w:shd w:val="clear" w:color="auto" w:fill="auto"/>
            <w:hideMark/>
          </w:tcPr>
          <w:p w:rsidR="00263CCF" w:rsidRPr="00595888" w:rsidRDefault="00263CCF" w:rsidP="00263CCF">
            <w:pPr>
              <w:pStyle w:val="docdata"/>
              <w:spacing w:before="0" w:beforeAutospacing="0" w:after="0" w:afterAutospacing="0" w:line="276" w:lineRule="atLeast"/>
              <w:rPr>
                <w:sz w:val="22"/>
                <w:szCs w:val="22"/>
              </w:rPr>
            </w:pPr>
            <w:r w:rsidRPr="00595888">
              <w:rPr>
                <w:bCs/>
                <w:color w:val="000000"/>
                <w:sz w:val="22"/>
                <w:szCs w:val="22"/>
              </w:rPr>
              <w:t xml:space="preserve">Тест для визначення простат-специфічного антигену (ПСА), №1 </w:t>
            </w:r>
          </w:p>
          <w:p w:rsidR="00263CCF" w:rsidRPr="00595888" w:rsidRDefault="00263CCF" w:rsidP="00263CCF">
            <w:pPr>
              <w:pStyle w:val="a5"/>
              <w:spacing w:before="0" w:beforeAutospacing="0" w:after="0" w:afterAutospacing="0" w:line="276" w:lineRule="atLeast"/>
              <w:rPr>
                <w:sz w:val="22"/>
                <w:szCs w:val="22"/>
              </w:rPr>
            </w:pPr>
            <w:r w:rsidRPr="00595888">
              <w:rPr>
                <w:sz w:val="22"/>
                <w:szCs w:val="22"/>
              </w:rPr>
              <w:t> 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Загальний термін придатності: не менше 24 міс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Процедура тестування проводиться при температурі 10 – 30 </w:t>
            </w:r>
            <w:r w:rsidRPr="0059588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595888">
              <w:rPr>
                <w:color w:val="000000"/>
                <w:sz w:val="22"/>
                <w:szCs w:val="22"/>
              </w:rPr>
              <w:t>С. Тест-касета, зразок та буфер мають бути доведені до вказаної температури.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Зразок для аналізу: цільна кров, сироватка, плазма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Отримання результатів: 10 хв.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Чутливість: 100,00%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Специфічність: 99,9%</w:t>
            </w:r>
          </w:p>
          <w:p w:rsidR="00263CCF" w:rsidRPr="00595888" w:rsidRDefault="00263CCF" w:rsidP="00263CCF">
            <w:pPr>
              <w:pStyle w:val="a5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Зберігання при температурі (t від +2 до +30° С)</w:t>
            </w:r>
          </w:p>
          <w:p w:rsidR="00527288" w:rsidRPr="00595888" w:rsidRDefault="00263CCF" w:rsidP="00263C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888">
              <w:rPr>
                <w:rFonts w:ascii="Times New Roman" w:hAnsi="Times New Roman" w:cs="Times New Roman"/>
                <w:color w:val="000000"/>
              </w:rPr>
              <w:t xml:space="preserve">Тест –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мають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формат тест –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касети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кожен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тест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індивідуально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укомплектований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необхідними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складовими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: одноразовою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95888">
              <w:rPr>
                <w:rFonts w:ascii="Times New Roman" w:hAnsi="Times New Roman" w:cs="Times New Roman"/>
                <w:color w:val="000000"/>
              </w:rPr>
              <w:t>іпеткою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розчинником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буфері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небулі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інструкцією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українською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мовою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6" w:type="dxa"/>
          </w:tcPr>
          <w:p w:rsidR="00527288" w:rsidRPr="00595888" w:rsidRDefault="00527288" w:rsidP="003069F0">
            <w:pPr>
              <w:pStyle w:val="a3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D27544" w:rsidRPr="00595888" w:rsidTr="00595888">
        <w:trPr>
          <w:trHeight w:val="936"/>
        </w:trPr>
        <w:tc>
          <w:tcPr>
            <w:tcW w:w="568" w:type="dxa"/>
            <w:shd w:val="clear" w:color="auto" w:fill="auto"/>
            <w:vAlign w:val="center"/>
            <w:hideMark/>
          </w:tcPr>
          <w:p w:rsidR="00D27544" w:rsidRPr="00595888" w:rsidRDefault="00D27544" w:rsidP="00D2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Тест-смужки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р</w:t>
            </w:r>
            <w:proofErr w:type="gramEnd"/>
            <w:r w:rsidRPr="00595888">
              <w:rPr>
                <w:rFonts w:ascii="Times New Roman" w:hAnsi="Times New Roman" w:cs="Times New Roman"/>
              </w:rPr>
              <w:t>івня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холестерину №25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hAnsi="Times New Roman" w:cs="Times New Roman"/>
              </w:rPr>
              <w:t>(</w:t>
            </w:r>
            <w:proofErr w:type="spellStart"/>
            <w:r w:rsidRPr="00595888">
              <w:rPr>
                <w:rFonts w:ascii="Times New Roman" w:hAnsi="Times New Roman" w:cs="Times New Roman"/>
              </w:rPr>
              <w:t>Easy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Touch</w:t>
            </w:r>
            <w:proofErr w:type="spellEnd"/>
            <w:r w:rsidRPr="005958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567" w:type="dxa"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95888">
              <w:rPr>
                <w:rFonts w:ascii="Times New Roman" w:eastAsia="SimSun" w:hAnsi="Times New Roman"/>
                <w:lang w:val="uk-UA" w:eastAsia="zh-CN"/>
              </w:rPr>
              <w:t>пак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tbl>
            <w:tblPr>
              <w:tblW w:w="6790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0"/>
              <w:gridCol w:w="4974"/>
              <w:gridCol w:w="1276"/>
            </w:tblGrid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№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Технічна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вимога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замовника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Відповідність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(так/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ні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)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in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vitro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діагностики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апаратом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холестерину та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самостійного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контролю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холестерину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зразку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свіжої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капілярної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Можуть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бути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використовуватись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як в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ікувальних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установах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так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вдома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базується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на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визначенні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поточних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змін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викликаних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реакцією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холестерину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реагентом на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електроді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смужки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Діапазон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визначення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холестерину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100 до 400мг/дл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2,6ммоль/л до 10,4ммоль/л).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Кожна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тест-смужка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містить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наступні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реагенти</w:t>
                  </w:r>
                  <w:proofErr w:type="spellEnd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:</w:t>
                  </w:r>
                  <w:proofErr w:type="gramEnd"/>
                </w:p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Холестеролоксидаза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≥ 3,0 IU.</w:t>
                  </w:r>
                </w:p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Інгредієнти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що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не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вступають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реакцію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≥ 2,1мг.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Кількість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- № 25.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комплекті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ключ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кодування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для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холестерину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блакитного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кольору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Тип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зразка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іжа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капілярна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цільна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кров.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Для одноразового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використання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Термін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придатності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тест-смужок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18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місяців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2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міс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дати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ідкриття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флакону.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Індивідуальне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пакування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(флакон № 25).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</w:tbl>
          <w:p w:rsidR="00D27544" w:rsidRPr="00595888" w:rsidRDefault="00D27544" w:rsidP="00450A45">
            <w:pPr>
              <w:spacing w:after="0" w:line="240" w:lineRule="auto"/>
              <w:ind w:left="145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544" w:rsidRPr="00595888" w:rsidRDefault="00D27544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D27544" w:rsidRPr="00595888" w:rsidTr="00595888">
        <w:trPr>
          <w:trHeight w:val="936"/>
        </w:trPr>
        <w:tc>
          <w:tcPr>
            <w:tcW w:w="568" w:type="dxa"/>
            <w:shd w:val="clear" w:color="auto" w:fill="auto"/>
            <w:vAlign w:val="center"/>
            <w:hideMark/>
          </w:tcPr>
          <w:p w:rsidR="00D27544" w:rsidRPr="00595888" w:rsidRDefault="00D27544" w:rsidP="00D2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Тест-смужки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р</w:t>
            </w:r>
            <w:proofErr w:type="gramEnd"/>
            <w:r w:rsidRPr="00595888">
              <w:rPr>
                <w:rFonts w:ascii="Times New Roman" w:hAnsi="Times New Roman" w:cs="Times New Roman"/>
              </w:rPr>
              <w:t>івня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глюкози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№50 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95888">
              <w:rPr>
                <w:rFonts w:ascii="Times New Roman" w:hAnsi="Times New Roman" w:cs="Times New Roman"/>
                <w:lang w:val="en-US"/>
              </w:rPr>
              <w:t xml:space="preserve">(Care G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або</w:t>
            </w:r>
            <w:proofErr w:type="spellEnd"/>
            <w:r w:rsidRPr="00595888">
              <w:rPr>
                <w:rFonts w:ascii="Times New Roman" w:hAnsi="Times New Roman" w:cs="Times New Roman"/>
                <w:lang w:val="en-US"/>
              </w:rPr>
              <w:t xml:space="preserve"> Easy Touch)</w:t>
            </w:r>
          </w:p>
        </w:tc>
        <w:tc>
          <w:tcPr>
            <w:tcW w:w="709" w:type="dxa"/>
            <w:shd w:val="clear" w:color="auto" w:fill="auto"/>
            <w:hideMark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567" w:type="dxa"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95888">
              <w:rPr>
                <w:rFonts w:ascii="Times New Roman" w:eastAsia="SimSun" w:hAnsi="Times New Roman"/>
                <w:lang w:val="uk-UA" w:eastAsia="zh-CN"/>
              </w:rPr>
              <w:t>пак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tbl>
            <w:tblPr>
              <w:tblW w:w="6803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3"/>
              <w:gridCol w:w="5116"/>
              <w:gridCol w:w="1134"/>
            </w:tblGrid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№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Технічна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вимога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замовника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Відповідність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 xml:space="preserve"> (так/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ні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uk-UA"/>
                    </w:rPr>
                    <w:t>)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in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vitro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зовнішнє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застосування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Апарат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може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використовуватись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медичним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персоналом та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пацієнтами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що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страждають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на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діабет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та самоконтролю.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базується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на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змінах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електричного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току,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викликаних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реакцією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реагентом на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електроді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відповідної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смужки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Аксесуари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упаковці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Апарат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; 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Інструкція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використання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Проколюючий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пристрій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Спрощена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інструкція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використання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Скарифікатори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  <w:t xml:space="preserve">Ключ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кодування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  <w:t>Сумка;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  <w:t>ААА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лкалінові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батарейки 2шт.;</w:t>
                  </w:r>
                </w:p>
                <w:p w:rsidR="00D27544" w:rsidRPr="00595888" w:rsidRDefault="00D27544" w:rsidP="00450A45">
                  <w:pPr>
                    <w:widowControl w:val="0"/>
                    <w:tabs>
                      <w:tab w:val="left" w:pos="2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Тест-смужки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івня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 код.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Кодування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смужок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Потребує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ключ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кодування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Діапазон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: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20 до 600мг/дл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1,1 до 33,3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ммоль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/л).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Місткість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пам’яті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200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результатів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Час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10 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Об’є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</w:t>
                  </w:r>
                  <w:proofErr w:type="spellEnd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проби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 ≥ 4 μл. 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Термін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придатності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тест-смужок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24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місяці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90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днів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дати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ідкриття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флакону.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11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Калібрування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: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  <w:t xml:space="preserve">За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еквівалентом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плазми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Тип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зразка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крові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Капілярна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цільна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кров.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Метод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: 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Амперометричний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14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Робочі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умови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: </w:t>
                  </w:r>
                </w:p>
                <w:p w:rsidR="00D27544" w:rsidRPr="00595888" w:rsidRDefault="00D27544" w:rsidP="00D27544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Температура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навколишнього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повітря</w:t>
                  </w:r>
                  <w:proofErr w:type="spellEnd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14 до 40 °C.</w:t>
                  </w:r>
                </w:p>
                <w:p w:rsidR="00D27544" w:rsidRPr="00595888" w:rsidRDefault="00D27544" w:rsidP="00D27544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Відносна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вологість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навколишнього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повітря:20 – 85%.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15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Умови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зберігання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транспортування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інус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10 до 60°C</w:t>
                  </w:r>
                </w:p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Температура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навколишнього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повітря</w:t>
                  </w:r>
                  <w:proofErr w:type="spellEnd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4 до 30°C (для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тест-смужок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Відносна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вологість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навколишнього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повітря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До 95 % (для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апарату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16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Гематокрит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діапазон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):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Від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35 до 50%.</w:t>
                  </w: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17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Вага: 59г без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батарейок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18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Електричне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живлення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2 батарейки AAA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напругою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по 1,5 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Габаритні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розміри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88 мм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x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64 мм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x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22 мм.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20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Розміри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дисплея: 35 мм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x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45 мм.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  <w:tr w:rsidR="00D27544" w:rsidRPr="00595888" w:rsidTr="00450A45">
              <w:trPr>
                <w:trHeight w:val="227"/>
                <w:tblCellSpacing w:w="0" w:type="dxa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21</w:t>
                  </w:r>
                </w:p>
              </w:tc>
              <w:tc>
                <w:tcPr>
                  <w:tcW w:w="5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Строк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служби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батарейок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: Не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менше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1000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циклів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так</w:t>
                  </w:r>
                </w:p>
              </w:tc>
            </w:tr>
          </w:tbl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544" w:rsidRPr="00595888" w:rsidRDefault="00D27544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D27544" w:rsidRPr="00595888" w:rsidTr="00595888">
        <w:trPr>
          <w:trHeight w:val="936"/>
        </w:trPr>
        <w:tc>
          <w:tcPr>
            <w:tcW w:w="568" w:type="dxa"/>
            <w:shd w:val="clear" w:color="auto" w:fill="auto"/>
            <w:vAlign w:val="center"/>
            <w:hideMark/>
          </w:tcPr>
          <w:p w:rsidR="00D27544" w:rsidRPr="00595888" w:rsidRDefault="00D27544" w:rsidP="00D2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95888">
              <w:rPr>
                <w:rFonts w:ascii="Times New Roman" w:hAnsi="Times New Roman" w:cs="Times New Roman"/>
                <w:lang w:val="uk-UA"/>
              </w:rPr>
              <w:t>Тест-Смужки для вимірювання рівня глюкози в крові №25(</w:t>
            </w:r>
            <w:proofErr w:type="spellStart"/>
            <w:r w:rsidRPr="00595888">
              <w:rPr>
                <w:rFonts w:ascii="Times New Roman" w:hAnsi="Times New Roman" w:cs="Times New Roman"/>
              </w:rPr>
              <w:t>Contour</w:t>
            </w:r>
            <w:proofErr w:type="spellEnd"/>
            <w:r w:rsidRPr="0059588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plus</w:t>
            </w:r>
            <w:proofErr w:type="spellEnd"/>
            <w:r w:rsidRPr="0059588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95888">
              <w:rPr>
                <w:rFonts w:ascii="Times New Roman" w:eastAsia="SimSun" w:hAnsi="Times New Roman"/>
                <w:lang w:val="uk-UA" w:eastAsia="zh-CN"/>
              </w:rPr>
              <w:t>пак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бути для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р</w:t>
            </w:r>
            <w:proofErr w:type="gramEnd"/>
            <w:r w:rsidRPr="00595888">
              <w:rPr>
                <w:rFonts w:ascii="Times New Roman" w:hAnsi="Times New Roman" w:cs="Times New Roman"/>
              </w:rPr>
              <w:t>івня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глюкози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зразку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капілярної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крові</w:t>
            </w:r>
            <w:proofErr w:type="spellEnd"/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характеристикам: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П</w:t>
            </w:r>
            <w:proofErr w:type="gramEnd"/>
            <w:r w:rsidRPr="00595888">
              <w:rPr>
                <w:rFonts w:ascii="Times New Roman" w:hAnsi="Times New Roman" w:cs="Times New Roman"/>
              </w:rPr>
              <w:t>ідходити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апаратів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глюкози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r w:rsidRPr="00595888">
              <w:rPr>
                <w:rFonts w:ascii="Times New Roman" w:hAnsi="Times New Roman" w:cs="Times New Roman"/>
                <w:lang w:val="en-US"/>
              </w:rPr>
              <w:t>Gamma</w:t>
            </w:r>
            <w:r w:rsidRPr="00595888">
              <w:rPr>
                <w:rFonts w:ascii="Times New Roman" w:hAnsi="Times New Roman" w:cs="Times New Roman"/>
              </w:rPr>
              <w:t xml:space="preserve"> </w:t>
            </w:r>
            <w:r w:rsidRPr="00595888">
              <w:rPr>
                <w:rFonts w:ascii="Times New Roman" w:hAnsi="Times New Roman" w:cs="Times New Roman"/>
                <w:lang w:val="en-US"/>
              </w:rPr>
              <w:t>mini</w:t>
            </w:r>
            <w:r w:rsidRPr="00595888">
              <w:rPr>
                <w:rFonts w:ascii="Times New Roman" w:hAnsi="Times New Roman" w:cs="Times New Roman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від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1,1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/Л до 33,3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95888">
              <w:rPr>
                <w:rFonts w:ascii="Times New Roman" w:hAnsi="Times New Roman" w:cs="Times New Roman"/>
              </w:rPr>
              <w:t>/л.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фермент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глюкозооксидаза</w:t>
            </w:r>
            <w:proofErr w:type="spellEnd"/>
            <w:r w:rsidRPr="00595888">
              <w:rPr>
                <w:rFonts w:ascii="Times New Roman" w:hAnsi="Times New Roman" w:cs="Times New Roman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р</w:t>
            </w:r>
            <w:proofErr w:type="gramEnd"/>
            <w:r w:rsidRPr="00595888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гематокриту 20%-60%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888">
              <w:rPr>
                <w:rFonts w:ascii="Times New Roman" w:hAnsi="Times New Roman" w:cs="Times New Roman"/>
              </w:rPr>
              <w:t xml:space="preserve">Бути для одноразового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використання</w:t>
            </w:r>
            <w:proofErr w:type="spellEnd"/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</w:rPr>
              <w:t>п</w:t>
            </w:r>
            <w:proofErr w:type="gramEnd"/>
            <w:r w:rsidRPr="00595888">
              <w:rPr>
                <w:rFonts w:ascii="Times New Roman" w:hAnsi="Times New Roman" w:cs="Times New Roman"/>
              </w:rPr>
              <w:t>ісля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відкриття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флакону не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595888">
              <w:rPr>
                <w:rFonts w:ascii="Times New Roman" w:hAnsi="Times New Roman" w:cs="Times New Roman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Fonts w:ascii="Times New Roman" w:hAnsi="Times New Roman" w:cs="Times New Roman"/>
              </w:rPr>
              <w:t>Мати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</w:rPr>
              <w:t>пакування</w:t>
            </w:r>
            <w:proofErr w:type="spellEnd"/>
            <w:r w:rsidRPr="00595888">
              <w:rPr>
                <w:rFonts w:ascii="Times New Roman" w:hAnsi="Times New Roman" w:cs="Times New Roman"/>
              </w:rPr>
              <w:t xml:space="preserve"> (упаковка №25).</w:t>
            </w:r>
          </w:p>
        </w:tc>
        <w:tc>
          <w:tcPr>
            <w:tcW w:w="426" w:type="dxa"/>
          </w:tcPr>
          <w:p w:rsidR="00D27544" w:rsidRPr="00595888" w:rsidRDefault="00D27544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D27544" w:rsidRPr="00595888" w:rsidTr="00595888">
        <w:trPr>
          <w:trHeight w:val="936"/>
        </w:trPr>
        <w:tc>
          <w:tcPr>
            <w:tcW w:w="568" w:type="dxa"/>
            <w:shd w:val="clear" w:color="auto" w:fill="auto"/>
            <w:vAlign w:val="center"/>
            <w:hideMark/>
          </w:tcPr>
          <w:p w:rsidR="00D27544" w:rsidRPr="00595888" w:rsidRDefault="00D27544" w:rsidP="00D2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Смужки діагностичні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UrineRS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H10 на 10 параметрів (100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t>320</w:t>
            </w:r>
          </w:p>
        </w:tc>
        <w:tc>
          <w:tcPr>
            <w:tcW w:w="567" w:type="dxa"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95888">
              <w:rPr>
                <w:rFonts w:ascii="Times New Roman" w:eastAsia="SimSun" w:hAnsi="Times New Roman"/>
                <w:lang w:val="uk-UA" w:eastAsia="zh-CN"/>
              </w:rPr>
              <w:t>Пак.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pStyle w:val="docdata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На 100 досліджень - 1 упаковка.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Призначені для роботи на аналізаторі сечі моделі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 H-50/100/500 та для візуального аналізу. Смужки забезпечують випробування для лейкоцитів, кетонів, нітритів, 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уробіліногену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білірубіну, білку, глюкозі, питомій вазі, крові і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в сечі.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Принцип тесту: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Глюкоза: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ферментативній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Перший Фермент,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глюкозооксидаза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каталізує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утворення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глюконової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кислоти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перекису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водню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окисленні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Другий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фермент,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пероксидаза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каталізує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перекису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водню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йодидом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яка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призводить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Білірубін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взаємодії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прямого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білірубіну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діазоніє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сильно кислому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Кетони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ацетооцтової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кислоти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нітропрусидом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лужному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призводить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появи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ітло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фіолетового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Питома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вага: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константи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дисоціації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рКа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певних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поліелектролітів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зазнали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спеціальної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обробки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залежності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іонної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присутності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індикатора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варіюються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темно-синього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низькою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іонною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концентрацією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жовто-зеленого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більш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високою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іонною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Кров: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псевдопероксидазній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гемоглобіну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еритроциті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індикаторному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Білок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протеїновій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помилці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індикаторів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При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незмінному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розвиток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зеленого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пов’язано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присутністю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білка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Уробіліноген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модифікованій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Ерліха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р-діетиламінобензальдегід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уробіліногеном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сильно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кислому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конверсії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нітрату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ією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грам-негативних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бактерій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п-арсаніловою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кислотою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утворює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з&amp;apos;єднання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діазонію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кислому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Лейкоцити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естерази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міститься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лейкоцитах, яка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каталізує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гідроліз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похідного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індоксіл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ефіру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Індоксіл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ефі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діазонієвою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сіллю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пурпурового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Склад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реагенті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Лейкоцити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4.3% 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іролловий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ефір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амінокислоти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0,4% 2,4-діхлоранілінова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діазонію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92,6% буфер; 2,7%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1.3% N- (1-нафтол)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етилендіамін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р-арсанілової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кислоти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0,9%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тетрагідрохінолін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89,6% буфер; 8.2%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Білок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0,1%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тетрабромфенол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97,4% буфер; 2,5%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Кров: 26.0%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діізопропілбензол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дегідропероксидаза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1,5%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тетраметилбензидин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35,3% буфер; 37,2%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Уробіліноген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0,2%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швидкий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синій</w:t>
            </w:r>
            <w:proofErr w:type="spellEnd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98,0% буфер; 1,8%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Білірубін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0,6% 2,4-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дихлоранілі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нова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діазонію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57,3% буфер; 42,1%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3,3%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бромкрезоловий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зелений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55,0%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бромтимоловий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41,7%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Питома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вага: 4,8%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бромтимоловий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90,2%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ангідрид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5,0%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дроксид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натрiю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Глюкоза: 1,7%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глюкозооксидаза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мікробна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123Од); 0,2%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пероксидаза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(203Од); 0,1% йодид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71,8% буфер; 26,2%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Кетони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5.7%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нітропруссид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64,4% буфер; 29,9%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інертні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Чутливість залежить від наявності або відсутності інтерферуючих речовин. </w:t>
            </w:r>
          </w:p>
          <w:tbl>
            <w:tblPr>
              <w:tblW w:w="6792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7"/>
              <w:gridCol w:w="1418"/>
              <w:gridCol w:w="2407"/>
              <w:gridCol w:w="1420"/>
            </w:tblGrid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Компонент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Чутливість</w:t>
                  </w:r>
                  <w:proofErr w:type="spellEnd"/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Діапазон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інструментальний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метод)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Діапазон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вимірювання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візуальний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метод)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Глюкоз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а(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моль/л)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2.8-5.6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- 56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Білок</w:t>
                  </w:r>
                  <w:proofErr w:type="spellEnd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(г/л)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0.15-0.3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– 3.0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– 20.0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Кетон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</w:t>
                  </w:r>
                  <w:proofErr w:type="spellStart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ацетооцтова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кислота)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ммоль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0.5-1.0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– 7.8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- 16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Кро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в(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Эр/мкл)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5-15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- 200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Бі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</w:t>
                  </w:r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ірубін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мкмоль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8.6-17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- 103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Нітрит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мкмоль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13-22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– 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Позит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Лейкоцит</w:t>
                  </w:r>
                  <w:proofErr w:type="gram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и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</w:t>
                  </w:r>
                  <w:proofErr w:type="spellStart"/>
                  <w:proofErr w:type="gram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шт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/мкл)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5-15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Негат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- 500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Уробіліноген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</w:t>
                  </w: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мкмоль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/л)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3.4-17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3.4-135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pH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5.0-9.0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5.0-8.5</w:t>
                  </w:r>
                </w:p>
              </w:tc>
            </w:tr>
            <w:tr w:rsidR="00D27544" w:rsidRPr="00595888" w:rsidTr="00450A45">
              <w:trPr>
                <w:tblCellSpacing w:w="0" w:type="dxa"/>
              </w:trPr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Питома</w:t>
                  </w:r>
                  <w:proofErr w:type="spellEnd"/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вага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1.005-1.030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544" w:rsidRPr="00595888" w:rsidRDefault="00D27544" w:rsidP="00450A45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9588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1.000-1.030</w:t>
                  </w:r>
                </w:p>
              </w:tc>
            </w:tr>
          </w:tbl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Інші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характеристики: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Глюкоза: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 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відомостей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щоб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виділяються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сечею,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давали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позитивний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результат.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зона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взаємодіє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лактозою, галактозою, фруктозою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метаболі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іків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такими як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саліцилати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налідиксова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кислота. 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використовуватися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відновлювачів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глюкоза.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приблизно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100 мг / дл.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Білірубін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0,4-0,8 мг / дл (7-14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мкмоль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/л)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білірубіну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білірубіну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вважається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специфічним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Кетони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Область тесту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кетони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напівкількісного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взаємодіє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ацетооцтовою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кислотою,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виділяється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сечею.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зона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бета-гідроксимасляною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кислотою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ацетоном.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Реагентна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змінює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присутність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принаймні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5-10 мг / дл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ацетооцтової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кислоти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Питома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вага: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 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дозволяє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визначати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питому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вагу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1,000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1,030.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корелюють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межах 0.005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результатами,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отриманими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методом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відображаючого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індексу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Кров: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момент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реагенту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строго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дотримуватися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інструкції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вільного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гемоглобіну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- 0.015 мг / дл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5-10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інтактних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еритроцитів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одному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мікролітрі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трохи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більше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вільного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гемоглобіну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міоглобіну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інтактних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еритроцитів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дозволяє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кількісно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величину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кроком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одну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інтервалі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5-9. Результат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залежить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сечового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буфера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..</w:t>
            </w:r>
            <w:proofErr w:type="gramEnd"/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Білок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більш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альбуміну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глобуліну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гемоглобіну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білкам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Бен-Джонса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мікропротеїну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негативний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результат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гарантує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схожих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білків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цього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15 мг / дл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альбуміну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Через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великих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варіацій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пацієнтів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певних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можуть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визначатися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Уробіліноген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вловлювати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уробіліноген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концентраціях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принаймні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0,2 Од / дл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уробіліногена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тестованому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зразку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 однозначно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показу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proofErr w:type="gramEnd"/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Нітрит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момент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реагенту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натрію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- 0,075 мг / дл.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забарвлення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реакційної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визначенні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низьких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івнів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нітрит-іона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іншому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випадку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візуальна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помилковою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Цей тест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специфічний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нітритів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</w:t>
            </w:r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речовини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містяться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викликають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зміни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забарвлення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Лейкоцити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:</w:t>
            </w:r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тестом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можна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визначити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принаймні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5-15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лейкоциті</w:t>
            </w:r>
            <w:proofErr w:type="gram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spellEnd"/>
            <w:proofErr w:type="gram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мікролітр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зона не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реагує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еритроцитами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бактеріями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зустрічаються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  <w:r w:rsidRPr="005958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544" w:rsidRPr="00595888" w:rsidRDefault="00D27544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D27544" w:rsidRPr="00595888" w:rsidTr="00595888">
        <w:trPr>
          <w:trHeight w:val="936"/>
        </w:trPr>
        <w:tc>
          <w:tcPr>
            <w:tcW w:w="568" w:type="dxa"/>
            <w:shd w:val="clear" w:color="auto" w:fill="auto"/>
            <w:vAlign w:val="center"/>
            <w:hideMark/>
          </w:tcPr>
          <w:p w:rsidR="00D27544" w:rsidRPr="00595888" w:rsidRDefault="00D27544" w:rsidP="00D27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595888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Швидкий тест на виявлення антигену до SARS-</w:t>
            </w:r>
            <w:r w:rsidRPr="00595888">
              <w:rPr>
                <w:color w:val="000000"/>
                <w:sz w:val="22"/>
                <w:szCs w:val="22"/>
              </w:rPr>
              <w:lastRenderedPageBreak/>
              <w:t>CoV-2 (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Імуноаналіз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з використанням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колоїдного золота)</w:t>
            </w:r>
            <w:r w:rsidR="00595888">
              <w:rPr>
                <w:color w:val="000000"/>
                <w:sz w:val="22"/>
                <w:szCs w:val="22"/>
              </w:rPr>
              <w:t>,№25.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595888">
              <w:rPr>
                <w:rFonts w:ascii="Times New Roman" w:hAnsi="Times New Roman"/>
                <w:lang w:val="uk-UA"/>
              </w:rPr>
              <w:lastRenderedPageBreak/>
              <w:t>80</w:t>
            </w:r>
          </w:p>
        </w:tc>
        <w:tc>
          <w:tcPr>
            <w:tcW w:w="567" w:type="dxa"/>
          </w:tcPr>
          <w:p w:rsidR="00D27544" w:rsidRPr="00595888" w:rsidRDefault="00D27544" w:rsidP="00450A45">
            <w:pPr>
              <w:pStyle w:val="a3"/>
              <w:spacing w:line="276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95888">
              <w:rPr>
                <w:rFonts w:ascii="Times New Roman" w:eastAsia="SimSun" w:hAnsi="Times New Roman"/>
                <w:lang w:val="uk-UA" w:eastAsia="zh-CN"/>
              </w:rPr>
              <w:t>Пак.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27544" w:rsidRPr="00595888" w:rsidRDefault="00D27544" w:rsidP="00450A45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Набір використовується для якісного виявлення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vitro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антигену до нового SARS-CoV-2 у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мазках з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ротоглотки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, мазках з носа та носоглотки.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Склад набору: 25 тестів індивідуально запакованих, 25 тампонів для забору взірця індивідуально запакованих, 25 флаконів з буфером, </w:t>
            </w:r>
            <w:r w:rsidRPr="00595888">
              <w:rPr>
                <w:color w:val="000000"/>
                <w:sz w:val="22"/>
                <w:szCs w:val="22"/>
              </w:rPr>
              <w:lastRenderedPageBreak/>
              <w:t>готові до використання.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Оцінка результату за 10 хвилин.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Чутливість тесту не менше 90%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Специфічність не менше 99,2%.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Можливість використання взірців мазків з  носу, носоглотки,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ротоглотки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.</w:t>
            </w:r>
          </w:p>
          <w:p w:rsidR="00D27544" w:rsidRPr="00595888" w:rsidRDefault="00D27544" w:rsidP="00450A4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7544" w:rsidRPr="00595888" w:rsidRDefault="00D27544" w:rsidP="00450A45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Перехресна реакція:</w:t>
            </w:r>
          </w:p>
          <w:p w:rsidR="00D27544" w:rsidRPr="00595888" w:rsidRDefault="00D27544" w:rsidP="00450A45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 xml:space="preserve">Набір перевіряли із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Staphylococcus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aureus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Streptococcus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pneumoniae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вірусом кору, вірусом паротиту, аденовірусом типу 3,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Mycoplasma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pneumoniae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вірусом парагрипу типу 2,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метапневмовірусом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коронавірусом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OC43,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коронавірусом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229E,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Bacillus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parapertussis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вірус грипу типу B, тип B лінія вірусу Y, вірусом грипу типу A H1N1, вірусом грипу типу A H3N2, вірусом пташиного грипу H7N9, вірусом пташиного грипу H5N1, вірусом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Епштейна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Барр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ентеровірус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CA16,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риновірусом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>. Не було виявленої перехресної реакції.</w:t>
            </w:r>
          </w:p>
          <w:p w:rsidR="00D27544" w:rsidRPr="00595888" w:rsidRDefault="00D27544" w:rsidP="00450A45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5888">
              <w:rPr>
                <w:color w:val="000000"/>
                <w:sz w:val="22"/>
                <w:szCs w:val="22"/>
              </w:rPr>
              <w:t>Інтерференція:</w:t>
            </w:r>
          </w:p>
          <w:p w:rsidR="00D27544" w:rsidRPr="00595888" w:rsidRDefault="00D27544" w:rsidP="00450A45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5888">
              <w:rPr>
                <w:color w:val="000000"/>
                <w:sz w:val="22"/>
                <w:szCs w:val="22"/>
              </w:rPr>
              <w:t>Дигідрохлорид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гістаміну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ІФН-α,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Занамівір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Рибавірин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Осельтамівір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Парамівір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Лопінавір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Ритонавір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Арбідол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Азитроміцин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Цефтріаксон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Меропенем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888">
              <w:rPr>
                <w:color w:val="000000"/>
                <w:sz w:val="22"/>
                <w:szCs w:val="22"/>
              </w:rPr>
              <w:t>Тобраміцин</w:t>
            </w:r>
            <w:proofErr w:type="spellEnd"/>
            <w:r w:rsidRPr="00595888">
              <w:rPr>
                <w:color w:val="000000"/>
                <w:sz w:val="22"/>
                <w:szCs w:val="22"/>
              </w:rPr>
              <w:t xml:space="preserve"> не впливають на результати тесту.</w:t>
            </w: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27544" w:rsidRPr="00595888" w:rsidRDefault="00D27544" w:rsidP="0045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Усі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набори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лабораторних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ідженнях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(IVD)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мають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українську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(переклад) та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англійську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інструкцію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оригінал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виробника</w:t>
            </w:r>
            <w:proofErr w:type="spellEnd"/>
            <w:r w:rsidRPr="00595888">
              <w:rPr>
                <w:rStyle w:val="3279"/>
                <w:rFonts w:ascii="Times New Roman" w:hAnsi="Times New Roman" w:cs="Times New Roman"/>
                <w:color w:val="000000"/>
              </w:rPr>
              <w:t>)</w:t>
            </w:r>
            <w:r w:rsidRPr="005958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сертифікат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якості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 (QC) в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складі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набору (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гарантійний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лист).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Дані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набори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(IVD)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мають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зареєстровані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задекларовані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норм чинного </w:t>
            </w:r>
            <w:proofErr w:type="spellStart"/>
            <w:r w:rsidRPr="00595888">
              <w:rPr>
                <w:rFonts w:ascii="Times New Roman" w:hAnsi="Times New Roman" w:cs="Times New Roman"/>
                <w:color w:val="000000"/>
              </w:rPr>
              <w:t>законодавства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59588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95888">
              <w:rPr>
                <w:rFonts w:ascii="Times New Roman" w:hAnsi="Times New Roman" w:cs="Times New Roman"/>
                <w:color w:val="000000"/>
              </w:rPr>
              <w:t>ідтвердити</w:t>
            </w:r>
            <w:proofErr w:type="spellEnd"/>
            <w:r w:rsidRPr="00595888">
              <w:rPr>
                <w:rFonts w:ascii="Times New Roman" w:hAnsi="Times New Roman" w:cs="Times New Roman"/>
                <w:color w:val="000000"/>
              </w:rPr>
              <w:t xml:space="preserve"> документально).</w:t>
            </w:r>
          </w:p>
        </w:tc>
        <w:tc>
          <w:tcPr>
            <w:tcW w:w="426" w:type="dxa"/>
          </w:tcPr>
          <w:p w:rsidR="00D27544" w:rsidRPr="00595888" w:rsidRDefault="00D27544" w:rsidP="003069F0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C13667" w:rsidRPr="00595888" w:rsidRDefault="00C13667" w:rsidP="00644F05">
      <w:pPr>
        <w:rPr>
          <w:rFonts w:ascii="Times New Roman" w:hAnsi="Times New Roman" w:cs="Times New Roman"/>
          <w:lang w:val="uk-UA"/>
        </w:rPr>
      </w:pPr>
    </w:p>
    <w:sectPr w:rsidR="00C13667" w:rsidRPr="00595888" w:rsidSect="00C13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A26"/>
    <w:multiLevelType w:val="multilevel"/>
    <w:tmpl w:val="0EF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6E6F"/>
    <w:multiLevelType w:val="multilevel"/>
    <w:tmpl w:val="F3D6E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7288"/>
    <w:rsid w:val="00061409"/>
    <w:rsid w:val="001D2420"/>
    <w:rsid w:val="00263CCF"/>
    <w:rsid w:val="00286F60"/>
    <w:rsid w:val="00527288"/>
    <w:rsid w:val="005445D0"/>
    <w:rsid w:val="00595888"/>
    <w:rsid w:val="00644F05"/>
    <w:rsid w:val="006871C2"/>
    <w:rsid w:val="006F3C6F"/>
    <w:rsid w:val="0080157C"/>
    <w:rsid w:val="00C13667"/>
    <w:rsid w:val="00CA6951"/>
    <w:rsid w:val="00CE37DB"/>
    <w:rsid w:val="00D27544"/>
    <w:rsid w:val="00DA140D"/>
    <w:rsid w:val="00DD2C07"/>
    <w:rsid w:val="00DD3A49"/>
    <w:rsid w:val="00E02141"/>
    <w:rsid w:val="00F4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8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DD3A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728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27288"/>
    <w:rPr>
      <w:rFonts w:ascii="Calibri" w:eastAsia="Calibri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rsid w:val="00DD3A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cdata">
    <w:name w:val="docdata"/>
    <w:aliases w:val="docy,v5,2392,baiaagaaboqcaaadkqcaaawfbwaaaaaaaaaaaaaaaaaaaaaaaaaaaaaaaaaaaaaaaaaaaaaaaaaaaaaaaaaaaaaaaaaaaaaaaaaaaaaaaaaaaaaaaaaaaaaaaaaaaaaaaaaaaaaaaaaaaaaaaaaaaaaaaaaaaaaaaaaaaaaaaaaaaaaaaaaaaaaaaaaaaaaaaaaaaaaaaaaaaaaaaaaaaaaaaaaaaaaaaaaaaaaa"/>
    <w:basedOn w:val="a"/>
    <w:rsid w:val="002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D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279">
    <w:name w:val="3279"/>
    <w:aliases w:val="baiaagaaboqcaaadcasaaauwcwaaaaaaaaaaaaaaaaaaaaaaaaaaaaaaaaaaaaaaaaaaaaaaaaaaaaaaaaaaaaaaaaaaaaaaaaaaaaaaaaaaaaaaaaaaaaaaaaaaaaaaaaaaaaaaaaaaaaaaaaaaaaaaaaaaaaaaaaaaaaaaaaaaaaaaaaaaaaaaaaaaaaaaaaaaaaaaaaaaaaaaaaaaaaaaaaaaaaaaaaaaaaaa"/>
    <w:basedOn w:val="a0"/>
    <w:rsid w:val="00D2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24DF-26B4-485A-9817-ED915ED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12154</Words>
  <Characters>6929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2022-05-24T12:21:00Z</dcterms:created>
  <dcterms:modified xsi:type="dcterms:W3CDTF">2022-05-24T12:21:00Z</dcterms:modified>
</cp:coreProperties>
</file>