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503A53" w:rsidRDefault="00572598" w:rsidP="00C56F7F">
      <w:pPr>
        <w:pStyle w:val="1"/>
        <w:shd w:val="clear" w:color="auto" w:fill="FFFFFF"/>
        <w:spacing w:before="0" w:beforeAutospacing="0" w:after="0" w:afterAutospacing="0"/>
        <w:textAlignment w:val="baseline"/>
        <w:rPr>
          <w:sz w:val="24"/>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4504C7">
        <w:rPr>
          <w:sz w:val="24"/>
          <w:lang w:val="uk-UA"/>
        </w:rPr>
        <w:t>158800</w:t>
      </w:r>
      <w:r w:rsidR="004F487A">
        <w:rPr>
          <w:sz w:val="24"/>
          <w:lang w:val="uk-UA"/>
        </w:rPr>
        <w:t>00-0</w:t>
      </w:r>
    </w:p>
    <w:p w:rsidR="004504C7" w:rsidRDefault="004504C7" w:rsidP="00C56F7F">
      <w:pPr>
        <w:pStyle w:val="1"/>
        <w:shd w:val="clear" w:color="auto" w:fill="FFFFFF"/>
        <w:spacing w:before="0" w:beforeAutospacing="0" w:after="0" w:afterAutospacing="0"/>
        <w:textAlignment w:val="baseline"/>
        <w:rPr>
          <w:sz w:val="24"/>
          <w:lang w:val="uk-UA"/>
        </w:rPr>
      </w:pPr>
      <w:r w:rsidRPr="004504C7">
        <w:rPr>
          <w:sz w:val="24"/>
          <w:lang w:val="uk-UA"/>
        </w:rPr>
        <w:t xml:space="preserve">Ентеральне харчування для дітей та дорослих, Суміш рідка, 125 мл №4, </w:t>
      </w:r>
    </w:p>
    <w:p w:rsidR="004504C7" w:rsidRDefault="004504C7" w:rsidP="00C56F7F">
      <w:pPr>
        <w:pStyle w:val="1"/>
        <w:shd w:val="clear" w:color="auto" w:fill="FFFFFF"/>
        <w:spacing w:before="0" w:beforeAutospacing="0" w:after="0" w:afterAutospacing="0"/>
        <w:textAlignment w:val="baseline"/>
        <w:rPr>
          <w:sz w:val="24"/>
          <w:lang w:val="uk-UA"/>
        </w:rPr>
      </w:pPr>
      <w:r w:rsidRPr="004504C7">
        <w:rPr>
          <w:sz w:val="24"/>
          <w:lang w:val="uk-UA"/>
        </w:rPr>
        <w:t>Ентеральне харчування від народження, Суміш рідка від 250 мл</w:t>
      </w:r>
    </w:p>
    <w:p w:rsidR="00503A53" w:rsidRDefault="00503A53" w:rsidP="00C56F7F">
      <w:pPr>
        <w:pStyle w:val="1"/>
        <w:shd w:val="clear" w:color="auto" w:fill="FFFFFF"/>
        <w:spacing w:before="0" w:beforeAutospacing="0" w:after="0" w:afterAutospacing="0"/>
        <w:textAlignment w:val="baseline"/>
        <w:rPr>
          <w:sz w:val="24"/>
          <w:lang w:val="uk-UA"/>
        </w:rPr>
      </w:pPr>
    </w:p>
    <w:p w:rsidR="00503A53" w:rsidRDefault="00503A53" w:rsidP="00C56F7F">
      <w:pPr>
        <w:pStyle w:val="1"/>
        <w:shd w:val="clear" w:color="auto" w:fill="FFFFFF"/>
        <w:spacing w:before="0" w:beforeAutospacing="0" w:after="0" w:afterAutospacing="0"/>
        <w:textAlignment w:val="baseline"/>
        <w:rPr>
          <w:sz w:val="24"/>
          <w:lang w:val="uk-UA"/>
        </w:rPr>
      </w:pPr>
    </w:p>
    <w:p w:rsidR="00503A53" w:rsidRDefault="00503A53" w:rsidP="00C56F7F">
      <w:pPr>
        <w:pStyle w:val="1"/>
        <w:shd w:val="clear" w:color="auto" w:fill="FFFFFF"/>
        <w:spacing w:before="0" w:beforeAutospacing="0" w:after="0" w:afterAutospacing="0"/>
        <w:textAlignment w:val="baseline"/>
        <w:rPr>
          <w:sz w:val="22"/>
          <w:szCs w:val="22"/>
          <w:lang w:val="uk-UA"/>
        </w:rPr>
      </w:pPr>
    </w:p>
    <w:p w:rsidR="00503A53" w:rsidRPr="007D3426" w:rsidRDefault="00503A53" w:rsidP="00C56F7F">
      <w:pPr>
        <w:pStyle w:val="1"/>
        <w:shd w:val="clear" w:color="auto" w:fill="FFFFFF"/>
        <w:spacing w:before="0" w:beforeAutospacing="0" w:after="0" w:afterAutospacing="0"/>
        <w:textAlignment w:val="baseline"/>
        <w:rPr>
          <w:sz w:val="22"/>
          <w:szCs w:val="22"/>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lastRenderedPageBreak/>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w:t>
      </w:r>
      <w:r w:rsidRPr="00142469">
        <w:rPr>
          <w:rFonts w:ascii="Times New Roman" w:hAnsi="Times New Roman"/>
        </w:rPr>
        <w:lastRenderedPageBreak/>
        <w:t xml:space="preserve">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w:t>
      </w:r>
      <w:r w:rsidRPr="00142469">
        <w:rPr>
          <w:rFonts w:ascii="Times New Roman" w:hAnsi="Times New Roman"/>
        </w:rPr>
        <w:lastRenderedPageBreak/>
        <w:t xml:space="preserve">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lastRenderedPageBreak/>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w:t>
      </w:r>
      <w:r w:rsidRPr="00142469">
        <w:rPr>
          <w:rFonts w:ascii="Times New Roman" w:hAnsi="Times New Roman"/>
        </w:rPr>
        <w:lastRenderedPageBreak/>
        <w:t xml:space="preserve">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xml:space="preserve">, регульованих цін (тарифів), нормативів, середньозважених цін на електроенергію на </w:t>
      </w:r>
      <w:r w:rsidRPr="00142469">
        <w:rPr>
          <w:rFonts w:ascii="Times New Roman" w:hAnsi="Times New Roman"/>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w:t>
      </w:r>
      <w:r w:rsidRPr="00142469">
        <w:rPr>
          <w:rFonts w:ascii="Times New Roman" w:hAnsi="Times New Roman"/>
        </w:rPr>
        <w:lastRenderedPageBreak/>
        <w:t xml:space="preserve">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lastRenderedPageBreak/>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A7E31"/>
    <w:rsid w:val="003B2B22"/>
    <w:rsid w:val="003D5085"/>
    <w:rsid w:val="004504C7"/>
    <w:rsid w:val="00473BD9"/>
    <w:rsid w:val="004D1FB6"/>
    <w:rsid w:val="004D5288"/>
    <w:rsid w:val="004F487A"/>
    <w:rsid w:val="00503A53"/>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6BA7"/>
    <w:rsid w:val="007D3426"/>
    <w:rsid w:val="008273A8"/>
    <w:rsid w:val="008475C0"/>
    <w:rsid w:val="008805B0"/>
    <w:rsid w:val="008A08F0"/>
    <w:rsid w:val="009921CF"/>
    <w:rsid w:val="009D5A3F"/>
    <w:rsid w:val="009F5029"/>
    <w:rsid w:val="00A069D9"/>
    <w:rsid w:val="00A74875"/>
    <w:rsid w:val="00AB3979"/>
    <w:rsid w:val="00AB56DA"/>
    <w:rsid w:val="00AD0BAF"/>
    <w:rsid w:val="00B27F6C"/>
    <w:rsid w:val="00B44DC6"/>
    <w:rsid w:val="00B8020E"/>
    <w:rsid w:val="00B91F8A"/>
    <w:rsid w:val="00BA1A99"/>
    <w:rsid w:val="00BD22DC"/>
    <w:rsid w:val="00C16897"/>
    <w:rsid w:val="00C40A8E"/>
    <w:rsid w:val="00C56F7F"/>
    <w:rsid w:val="00C64268"/>
    <w:rsid w:val="00C77D11"/>
    <w:rsid w:val="00C844DA"/>
    <w:rsid w:val="00CF436E"/>
    <w:rsid w:val="00D53118"/>
    <w:rsid w:val="00D7502C"/>
    <w:rsid w:val="00D87204"/>
    <w:rsid w:val="00DA0818"/>
    <w:rsid w:val="00E5501E"/>
    <w:rsid w:val="00E8225B"/>
    <w:rsid w:val="00F11345"/>
    <w:rsid w:val="00F72A05"/>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AAF9-CF0A-4962-A514-9271F15D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2024-03-05T09:02:00Z</dcterms:created>
  <dcterms:modified xsi:type="dcterms:W3CDTF">2024-03-05T09:02:00Z</dcterms:modified>
</cp:coreProperties>
</file>