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F5" w:rsidRDefault="005F3949">
      <w:pPr>
        <w:ind w:left="720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ДОДАТОК 4</w:t>
      </w:r>
    </w:p>
    <w:p w:rsidR="001C0BF5" w:rsidRDefault="005F3949">
      <w:pPr>
        <w:jc w:val="right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до тендерної документації</w:t>
      </w:r>
    </w:p>
    <w:p w:rsidR="001C0BF5" w:rsidRDefault="001C0BF5">
      <w:pPr>
        <w:spacing w:after="29"/>
        <w:ind w:right="4961"/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</w:pPr>
    </w:p>
    <w:p w:rsidR="001C0BF5" w:rsidRDefault="005F3949">
      <w:pPr>
        <w:spacing w:after="29"/>
        <w:ind w:right="4961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Форма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„Тендерна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 пропозиція” подається у вигляді, наведеному нижче.</w:t>
      </w:r>
    </w:p>
    <w:p w:rsidR="001C0BF5" w:rsidRDefault="005F3949">
      <w:pPr>
        <w:ind w:right="4961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Учасник не повинен відступати від даної форми та заповнює всі необхідні графи </w:t>
      </w:r>
    </w:p>
    <w:p w:rsidR="001C0BF5" w:rsidRDefault="001C0BF5">
      <w:pPr>
        <w:ind w:right="4961"/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</w:pPr>
    </w:p>
    <w:p w:rsidR="001C0BF5" w:rsidRDefault="001C0BF5">
      <w:pPr>
        <w:ind w:right="4961"/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</w:pPr>
    </w:p>
    <w:p w:rsidR="001C0BF5" w:rsidRDefault="005F3949">
      <w:pPr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ФОРМА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„Тендерна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 пропозиція ”</w:t>
      </w:r>
    </w:p>
    <w:p w:rsidR="001C0BF5" w:rsidRDefault="005F3949">
      <w:pPr>
        <w:spacing w:after="29"/>
        <w:jc w:val="center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  <w:t>(форма, яка подається Учасником на фірмовому бланку)</w:t>
      </w:r>
    </w:p>
    <w:p w:rsidR="001C0BF5" w:rsidRPr="002B0F10" w:rsidRDefault="00B50761" w:rsidP="002B0F10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  <w:t xml:space="preserve">    </w:t>
      </w:r>
      <w:r w:rsidR="005F3949"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  <w:t xml:space="preserve">Ми, (назва Учасника), надаємо свою пропозицію для підписання договору за результатами </w:t>
      </w:r>
      <w:r w:rsidR="00740106"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  <w:t>процедури</w:t>
      </w:r>
      <w:r w:rsidR="005F3949"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  <w:t xml:space="preserve"> закупівл</w:t>
      </w:r>
      <w:r w:rsidR="00740106"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  <w:t>і</w:t>
      </w:r>
      <w:r w:rsidR="00E40025"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  <w:t xml:space="preserve"> за предметом</w:t>
      </w:r>
      <w:r w:rsidR="005F3949"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  <w:t>:</w:t>
      </w:r>
      <w:r w:rsidR="005F3949">
        <w:rPr>
          <w:rFonts w:ascii="Times New Roman" w:eastAsia="Arial CYR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bookmarkStart w:id="1" w:name="__DdeLink__7502_14654595792"/>
      <w:bookmarkEnd w:id="1"/>
      <w:r>
        <w:rPr>
          <w:rFonts w:ascii="Times New Roman" w:hAnsi="Times New Roman" w:cs="Times New Roman"/>
          <w:sz w:val="24"/>
          <w:szCs w:val="24"/>
        </w:rPr>
        <w:t xml:space="preserve">Акустична система  </w:t>
      </w:r>
      <w:r>
        <w:rPr>
          <w:rFonts w:ascii="Times New Roman" w:hAnsi="Times New Roman" w:cs="Times New Roman"/>
          <w:sz w:val="24"/>
          <w:szCs w:val="24"/>
          <w:lang w:val="en-US"/>
        </w:rPr>
        <w:t>JBL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PRX</w:t>
      </w:r>
      <w:r>
        <w:rPr>
          <w:rFonts w:ascii="Times New Roman" w:hAnsi="Times New Roman" w:cs="Times New Roman"/>
          <w:sz w:val="24"/>
          <w:szCs w:val="24"/>
        </w:rPr>
        <w:t>815</w:t>
      </w:r>
      <w:r>
        <w:rPr>
          <w:rFonts w:ascii="Times New Roman" w:hAnsi="Times New Roman" w:cs="Times New Roman"/>
          <w:sz w:val="24"/>
          <w:szCs w:val="24"/>
          <w:lang w:val="en-US"/>
        </w:rPr>
        <w:t>XLFW</w:t>
      </w:r>
      <w:r>
        <w:rPr>
          <w:rFonts w:ascii="Times New Roman" w:hAnsi="Times New Roman" w:cs="Times New Roman"/>
          <w:sz w:val="24"/>
          <w:szCs w:val="24"/>
        </w:rPr>
        <w:t xml:space="preserve">, акустична система </w:t>
      </w:r>
      <w:r>
        <w:rPr>
          <w:rFonts w:ascii="Times New Roman" w:hAnsi="Times New Roman" w:cs="Times New Roman"/>
          <w:sz w:val="24"/>
          <w:szCs w:val="24"/>
          <w:lang w:val="en-US"/>
        </w:rPr>
        <w:t>JBL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PRX</w:t>
      </w:r>
      <w:r>
        <w:rPr>
          <w:rFonts w:ascii="Times New Roman" w:hAnsi="Times New Roman" w:cs="Times New Roman"/>
          <w:sz w:val="24"/>
          <w:szCs w:val="24"/>
        </w:rPr>
        <w:t>835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ДК 021:2015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32330000-5: Апаратура для запису та відтворення аудіо - та відеоматеріалу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761">
        <w:rPr>
          <w:rFonts w:ascii="Times New Roman" w:hAnsi="Times New Roman" w:cs="Times New Roman"/>
          <w:sz w:val="24"/>
          <w:szCs w:val="24"/>
        </w:rPr>
        <w:t>(</w:t>
      </w:r>
      <w:r w:rsidRPr="00B50761">
        <w:rPr>
          <w:rFonts w:ascii="Times New Roman" w:eastAsia="Times New Roman" w:hAnsi="Times New Roman"/>
          <w:bCs/>
          <w:iCs/>
          <w:sz w:val="24"/>
          <w:szCs w:val="24"/>
        </w:rPr>
        <w:t>відповідний код</w:t>
      </w:r>
      <w:r w:rsidRPr="00B50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B50761">
        <w:rPr>
          <w:rFonts w:ascii="Times New Roman" w:hAnsi="Times New Roman" w:cs="Times New Roman"/>
          <w:sz w:val="24"/>
          <w:szCs w:val="24"/>
          <w:shd w:val="clear" w:color="auto" w:fill="FFFFFF"/>
        </w:rPr>
        <w:t>32331300-5: Звуковідтворювальна апаратура</w:t>
      </w:r>
      <w:r w:rsidRPr="00B50761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F10" w:rsidRPr="002B0F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3949">
        <w:rPr>
          <w:rFonts w:ascii="Times New Roman" w:hAnsi="Times New Roman" w:cs="Times New Roman"/>
          <w:sz w:val="22"/>
          <w:szCs w:val="22"/>
          <w:shd w:val="clear" w:color="auto" w:fill="FFFFFF"/>
        </w:rPr>
        <w:t>згідно з технічними вимогами Замовника торгів.</w:t>
      </w:r>
    </w:p>
    <w:p w:rsidR="001C0BF5" w:rsidRDefault="00B50761" w:rsidP="00B50761">
      <w:pPr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</w:t>
      </w:r>
      <w:r w:rsidR="005F394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Вивчивши тендерну документацію та технічні вимоги </w:t>
      </w:r>
      <w:r w:rsidR="006D47C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до предмета закупівлі та </w:t>
      </w:r>
      <w:r w:rsidR="005F3949">
        <w:rPr>
          <w:rFonts w:ascii="Times New Roman" w:hAnsi="Times New Roman" w:cs="Times New Roman"/>
          <w:sz w:val="22"/>
          <w:szCs w:val="22"/>
          <w:shd w:val="clear" w:color="auto" w:fill="FFFFFF"/>
        </w:rPr>
        <w:t>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:rsidR="001C0BF5" w:rsidRDefault="001C0BF5">
      <w:pPr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tbl>
      <w:tblPr>
        <w:tblW w:w="9995" w:type="dxa"/>
        <w:tblInd w:w="62" w:type="dxa"/>
        <w:tblBorders>
          <w:top w:val="single" w:sz="6" w:space="0" w:color="000080"/>
          <w:left w:val="single" w:sz="6" w:space="0" w:color="000080"/>
          <w:bottom w:val="single" w:sz="6" w:space="0" w:color="000080"/>
          <w:insideH w:val="single" w:sz="6" w:space="0" w:color="000080"/>
        </w:tblBorders>
        <w:tblCellMar>
          <w:left w:w="-7" w:type="dxa"/>
          <w:right w:w="65" w:type="dxa"/>
        </w:tblCellMar>
        <w:tblLook w:val="04A0" w:firstRow="1" w:lastRow="0" w:firstColumn="1" w:lastColumn="0" w:noHBand="0" w:noVBand="1"/>
      </w:tblPr>
      <w:tblGrid>
        <w:gridCol w:w="689"/>
        <w:gridCol w:w="3069"/>
        <w:gridCol w:w="897"/>
        <w:gridCol w:w="1198"/>
        <w:gridCol w:w="1421"/>
        <w:gridCol w:w="1472"/>
        <w:gridCol w:w="1249"/>
      </w:tblGrid>
      <w:tr w:rsidR="001C0BF5" w:rsidTr="00954667">
        <w:tc>
          <w:tcPr>
            <w:tcW w:w="6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1C0BF5" w:rsidRDefault="005F3949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shd w:val="clear" w:color="auto" w:fill="FFFFFF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069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FFFFFF"/>
            <w:tcMar>
              <w:left w:w="-3" w:type="dxa"/>
            </w:tcMar>
          </w:tcPr>
          <w:p w:rsidR="001C0BF5" w:rsidRDefault="005F3949">
            <w:pPr>
              <w:spacing w:after="200"/>
              <w:ind w:left="252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shd w:val="clear" w:color="auto" w:fill="FFFFFF"/>
              </w:rPr>
              <w:t>Найменування товару</w:t>
            </w:r>
          </w:p>
        </w:tc>
        <w:tc>
          <w:tcPr>
            <w:tcW w:w="8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1C0BF5" w:rsidRDefault="005F3949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shd w:val="clear" w:color="auto" w:fill="FFFFFF"/>
              </w:rPr>
              <w:t>Одиниці виміру</w:t>
            </w:r>
          </w:p>
        </w:tc>
        <w:tc>
          <w:tcPr>
            <w:tcW w:w="11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1C0BF5" w:rsidRDefault="005F3949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shd w:val="clear" w:color="auto" w:fill="FFFFFF"/>
              </w:rPr>
              <w:t>Кількість</w:t>
            </w:r>
          </w:p>
        </w:tc>
        <w:tc>
          <w:tcPr>
            <w:tcW w:w="14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1C0BF5" w:rsidRDefault="005F39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shd w:val="clear" w:color="auto" w:fill="FFFFFF"/>
              </w:rPr>
              <w:t>Ціна за одиницю,</w:t>
            </w:r>
          </w:p>
          <w:p w:rsidR="001C0BF5" w:rsidRDefault="005F3949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shd w:val="clear" w:color="auto" w:fill="FFFFFF"/>
              </w:rPr>
              <w:t>грн., без ПДВ</w:t>
            </w:r>
          </w:p>
        </w:tc>
        <w:tc>
          <w:tcPr>
            <w:tcW w:w="14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1C0BF5" w:rsidRDefault="005F3949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shd w:val="clear" w:color="auto" w:fill="FFFFFF"/>
              </w:rPr>
              <w:t>Ціна за одиницю, грн., з ПДВ*</w:t>
            </w:r>
          </w:p>
        </w:tc>
        <w:tc>
          <w:tcPr>
            <w:tcW w:w="1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1C0BF5" w:rsidRDefault="00C45824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shd w:val="clear" w:color="auto" w:fill="FFFFFF"/>
              </w:rPr>
              <w:t xml:space="preserve">Загальна вартість, грн., з/без </w:t>
            </w:r>
            <w:r w:rsidR="005F3949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shd w:val="clear" w:color="auto" w:fill="FFFFFF"/>
              </w:rPr>
              <w:t>ПДВ*</w:t>
            </w:r>
          </w:p>
        </w:tc>
      </w:tr>
      <w:tr w:rsidR="00940D66" w:rsidTr="00954667">
        <w:tc>
          <w:tcPr>
            <w:tcW w:w="6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940D66" w:rsidRDefault="00940D66" w:rsidP="00940D66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FFFFFF"/>
            <w:tcMar>
              <w:left w:w="-3" w:type="dxa"/>
            </w:tcMar>
          </w:tcPr>
          <w:p w:rsidR="00940D66" w:rsidRPr="002B0F10" w:rsidRDefault="002B0F10" w:rsidP="002B0F10">
            <w:pPr>
              <w:rPr>
                <w:b/>
                <w:sz w:val="22"/>
                <w:szCs w:val="22"/>
              </w:rPr>
            </w:pPr>
            <w:r w:rsidRPr="002B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Акустична система </w:t>
            </w:r>
            <w:r w:rsidRPr="002B0F10">
              <w:rPr>
                <w:rFonts w:ascii="Times New Roman" w:hAnsi="Times New Roman" w:cs="Times New Roman"/>
                <w:b/>
                <w:sz w:val="24"/>
                <w:szCs w:val="24"/>
              </w:rPr>
              <w:t>JBL PRX815</w:t>
            </w:r>
            <w:r w:rsidRPr="002B0F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XLF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 w:rsidRPr="00114F79">
              <w:rPr>
                <w:rFonts w:ascii="Times New Roman" w:hAnsi="Times New Roman" w:cs="Times New Roman"/>
                <w:b/>
                <w:sz w:val="22"/>
                <w:szCs w:val="22"/>
              </w:rPr>
              <w:t>(або еквівалент)</w:t>
            </w:r>
          </w:p>
        </w:tc>
        <w:tc>
          <w:tcPr>
            <w:tcW w:w="8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940D66" w:rsidRPr="00B50761" w:rsidRDefault="001770F3" w:rsidP="00940D6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B50761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940D66" w:rsidRPr="0038192A" w:rsidRDefault="002B0F10" w:rsidP="00940D66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940D66" w:rsidRDefault="00940D66" w:rsidP="00940D66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940D66" w:rsidRDefault="00940D66" w:rsidP="00940D66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940D66" w:rsidRDefault="00940D66" w:rsidP="00940D66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2B0F10" w:rsidTr="00954667">
        <w:tc>
          <w:tcPr>
            <w:tcW w:w="6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2B0F10" w:rsidRDefault="002B0F10" w:rsidP="00940D66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069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FFFFFF"/>
            <w:tcMar>
              <w:left w:w="-3" w:type="dxa"/>
            </w:tcMar>
          </w:tcPr>
          <w:p w:rsidR="002B0F10" w:rsidRPr="002B0F10" w:rsidRDefault="002B0F10" w:rsidP="002B0F1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Акустична система </w:t>
            </w:r>
            <w:r w:rsidRPr="002B0F10">
              <w:rPr>
                <w:rFonts w:ascii="Times New Roman" w:hAnsi="Times New Roman" w:cs="Times New Roman"/>
                <w:b/>
                <w:sz w:val="24"/>
                <w:szCs w:val="24"/>
              </w:rPr>
              <w:t>JBL PRX835W</w:t>
            </w:r>
            <w:r w:rsidRPr="002B0F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14F79">
              <w:rPr>
                <w:rFonts w:ascii="Times New Roman" w:hAnsi="Times New Roman" w:cs="Times New Roman"/>
                <w:b/>
                <w:sz w:val="22"/>
                <w:szCs w:val="22"/>
              </w:rPr>
              <w:t>(або еквівалент)</w:t>
            </w:r>
          </w:p>
        </w:tc>
        <w:tc>
          <w:tcPr>
            <w:tcW w:w="8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2B0F10" w:rsidRPr="00B50761" w:rsidRDefault="002B0F10" w:rsidP="00942C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B50761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2B0F10" w:rsidRPr="0038192A" w:rsidRDefault="002B0F10" w:rsidP="00942CAD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2B0F10" w:rsidRDefault="002B0F10" w:rsidP="00940D66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2B0F10" w:rsidRDefault="002B0F10" w:rsidP="00940D66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2B0F10" w:rsidRDefault="002B0F10" w:rsidP="00940D66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1C0BF5">
        <w:tc>
          <w:tcPr>
            <w:tcW w:w="874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C0BF5" w:rsidRDefault="005F3949">
            <w:pPr>
              <w:rPr>
                <w:rFonts w:ascii="Times New Roman" w:hAnsi="Times New Roman" w:cs="Times New Roman"/>
                <w:bCs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Вартість пропозиції                                                                                                                                        Σ __________________________________грн (зазначається з ПДВ)</w:t>
            </w:r>
          </w:p>
          <w:p w:rsidR="001C0BF5" w:rsidRDefault="005F3949">
            <w:pPr>
              <w:spacing w:after="200"/>
              <w:rPr>
                <w:rFonts w:ascii="Times New Roman" w:hAnsi="Times New Roman" w:cs="Times New Roman"/>
                <w:bCs/>
                <w:i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shd w:val="clear" w:color="auto" w:fill="FFFFFF"/>
              </w:rPr>
              <w:t>(Цифрами та словами</w:t>
            </w:r>
            <w:r w:rsidR="006D47C8">
              <w:rPr>
                <w:rFonts w:ascii="Times New Roman" w:hAnsi="Times New Roman" w:cs="Times New Roman"/>
                <w:bCs/>
                <w:i/>
                <w:sz w:val="22"/>
                <w:szCs w:val="22"/>
                <w:shd w:val="clear" w:color="auto" w:fill="FFFFFF"/>
              </w:rPr>
              <w:t xml:space="preserve"> з округленням до двох знаків після коми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shd w:val="clear" w:color="auto" w:fill="FFFFFF"/>
              </w:rPr>
              <w:t>)</w:t>
            </w:r>
          </w:p>
          <w:p w:rsidR="00C45824" w:rsidRDefault="00C45824">
            <w:pPr>
              <w:spacing w:after="200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C45824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В тому числі ПДВ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:</w:t>
            </w:r>
          </w:p>
          <w:p w:rsidR="00C45824" w:rsidRDefault="00C45824" w:rsidP="00C45824">
            <w:pPr>
              <w:rPr>
                <w:rFonts w:ascii="Times New Roman" w:hAnsi="Times New Roman" w:cs="Times New Roman"/>
                <w:bCs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Σ __________________________________грн (зазначається з ПДВ)</w:t>
            </w:r>
          </w:p>
          <w:p w:rsidR="00C45824" w:rsidRPr="00C45824" w:rsidRDefault="00C45824">
            <w:pPr>
              <w:spacing w:after="200"/>
              <w:rPr>
                <w:rFonts w:ascii="Times New Roman" w:hAnsi="Times New Roman" w:cs="Times New Roman"/>
                <w:bCs/>
                <w:i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shd w:val="clear" w:color="auto" w:fill="FFFFFF"/>
              </w:rPr>
              <w:t>(Цифрами та словами з округленням до двох знаків після коми)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C0BF5" w:rsidRDefault="001C0BF5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</w:tbl>
    <w:p w:rsidR="001C0BF5" w:rsidRDefault="001C0BF5">
      <w:pPr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1C0BF5" w:rsidRDefault="005F3949">
      <w:pPr>
        <w:spacing w:after="29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1. Ми погоджуємося дотримуватися умов цієї пропозиції протягом 120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календарних днів з дати кінцевого строку подання тендерних пропозицій.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</w:t>
      </w:r>
    </w:p>
    <w:p w:rsidR="001C0BF5" w:rsidRDefault="005F3949">
      <w:pPr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6D47C8" w:rsidRDefault="005F3949">
      <w:pPr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3.  Ми зобов’язуємося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укласти договір про закупівлю не пізніше ніж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>через 15 днів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з дати прийняття рішення про намір укласти договір про закупівлю відповідно до вимог тендерної документації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 </w:t>
      </w:r>
    </w:p>
    <w:p w:rsidR="006D47C8" w:rsidRDefault="006D47C8">
      <w:pPr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6D47C8" w:rsidRDefault="006D47C8">
      <w:pPr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                _______________________________                 ______________________</w:t>
      </w:r>
    </w:p>
    <w:p w:rsidR="006D47C8" w:rsidRPr="006D47C8" w:rsidRDefault="006D47C8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 w:rsidRPr="006D47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М.П</w:t>
      </w:r>
    </w:p>
    <w:p w:rsidR="006D47C8" w:rsidRDefault="006D47C8">
      <w:pPr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:rsidR="001C0BF5" w:rsidRDefault="005F3949">
      <w:pPr>
        <w:jc w:val="both"/>
        <w:rPr>
          <w:rFonts w:ascii="Times New Roman" w:hAnsi="Times New Roman" w:cs="Times New Roman"/>
          <w:color w:val="2A6099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  <w:lang w:eastAsia="ar-SA"/>
        </w:rPr>
        <w:t>Посада, прізвище, ініціали, підпис уповноваженої особи Учасника, завірені печаткою (за наявності).</w:t>
      </w:r>
    </w:p>
    <w:p w:rsidR="001C0BF5" w:rsidRDefault="005F3949">
      <w:pPr>
        <w:ind w:firstLine="709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  <w:u w:val="single"/>
          <w:shd w:val="clear" w:color="auto" w:fill="FFFFFF"/>
          <w:lang w:eastAsia="ar-SA"/>
        </w:rPr>
        <w:t>Увага!!</w:t>
      </w:r>
    </w:p>
    <w:p w:rsidR="001C0BF5" w:rsidRDefault="005F3949">
      <w:pPr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  <w:lang w:eastAsia="ar-SA"/>
        </w:rPr>
        <w:lastRenderedPageBreak/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</w:t>
      </w:r>
    </w:p>
    <w:p w:rsidR="001C0BF5" w:rsidRPr="00A104AB" w:rsidRDefault="005F3949" w:rsidP="00A104AB">
      <w:pPr>
        <w:tabs>
          <w:tab w:val="left" w:leader="dot" w:pos="9254"/>
        </w:tabs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2"/>
          <w:szCs w:val="22"/>
          <w:shd w:val="clear" w:color="auto" w:fill="FFFFFF"/>
          <w:lang w:eastAsia="ar-SA"/>
        </w:rPr>
        <w:t>вартість, грн., з ПДВ» зазначається ціна без ПДВ, про що Учасник</w:t>
      </w:r>
      <w:r w:rsidR="00A104AB">
        <w:rPr>
          <w:rFonts w:ascii="Times New Roman" w:eastAsia="Times New Roman" w:hAnsi="Times New Roman" w:cs="Times New Roman"/>
          <w:b/>
          <w:i/>
          <w:iCs/>
          <w:color w:val="000000"/>
          <w:sz w:val="22"/>
          <w:szCs w:val="22"/>
          <w:shd w:val="clear" w:color="auto" w:fill="FFFFFF"/>
          <w:lang w:eastAsia="ar-SA"/>
        </w:rPr>
        <w:t>ом робиться відповідна позначка</w:t>
      </w:r>
      <w:r w:rsidR="00D538DC">
        <w:rPr>
          <w:rFonts w:ascii="Times New Roman" w:eastAsia="Times New Roman" w:hAnsi="Times New Roman" w:cs="Times New Roman"/>
          <w:b/>
          <w:i/>
          <w:iCs/>
          <w:color w:val="000000"/>
          <w:sz w:val="22"/>
          <w:szCs w:val="22"/>
          <w:shd w:val="clear" w:color="auto" w:fill="FFFFFF"/>
          <w:lang w:eastAsia="ar-SA"/>
        </w:rPr>
        <w:t>.</w:t>
      </w:r>
    </w:p>
    <w:p w:rsidR="001C0BF5" w:rsidRDefault="001C0BF5"/>
    <w:sectPr w:rsidR="001C0BF5" w:rsidSect="009E0A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87" w:rsidRDefault="00FD7787">
      <w:r>
        <w:separator/>
      </w:r>
    </w:p>
  </w:endnote>
  <w:endnote w:type="continuationSeparator" w:id="0">
    <w:p w:rsidR="00FD7787" w:rsidRDefault="00FD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altName w:val="Arial"/>
    <w:panose1 w:val="020B0604020202020204"/>
    <w:charset w:val="00"/>
    <w:family w:val="roman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altName w:val="Microsoft YaHe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87" w:rsidRDefault="00FD7787">
      <w:r>
        <w:separator/>
      </w:r>
    </w:p>
  </w:footnote>
  <w:footnote w:type="continuationSeparator" w:id="0">
    <w:p w:rsidR="00FD7787" w:rsidRDefault="00FD7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C0"/>
    <w:rsid w:val="00034B86"/>
    <w:rsid w:val="00062567"/>
    <w:rsid w:val="00065D7F"/>
    <w:rsid w:val="00114F79"/>
    <w:rsid w:val="00142351"/>
    <w:rsid w:val="00153D27"/>
    <w:rsid w:val="001716DE"/>
    <w:rsid w:val="001770F3"/>
    <w:rsid w:val="001C0BF5"/>
    <w:rsid w:val="002B0F10"/>
    <w:rsid w:val="002F69E4"/>
    <w:rsid w:val="00300524"/>
    <w:rsid w:val="003A3094"/>
    <w:rsid w:val="003B6B8B"/>
    <w:rsid w:val="00451DBC"/>
    <w:rsid w:val="00465483"/>
    <w:rsid w:val="00575ADB"/>
    <w:rsid w:val="005F3949"/>
    <w:rsid w:val="00693B44"/>
    <w:rsid w:val="006D47C8"/>
    <w:rsid w:val="00714463"/>
    <w:rsid w:val="00723E0A"/>
    <w:rsid w:val="00740106"/>
    <w:rsid w:val="007B5B97"/>
    <w:rsid w:val="007E7AF0"/>
    <w:rsid w:val="00911CE1"/>
    <w:rsid w:val="00940D66"/>
    <w:rsid w:val="00954667"/>
    <w:rsid w:val="00974CAA"/>
    <w:rsid w:val="009B697C"/>
    <w:rsid w:val="009E0A17"/>
    <w:rsid w:val="00A104AB"/>
    <w:rsid w:val="00AA42D5"/>
    <w:rsid w:val="00B50761"/>
    <w:rsid w:val="00B7422C"/>
    <w:rsid w:val="00C0731D"/>
    <w:rsid w:val="00C45824"/>
    <w:rsid w:val="00CC7FC0"/>
    <w:rsid w:val="00D538DC"/>
    <w:rsid w:val="00D54A19"/>
    <w:rsid w:val="00DE6E18"/>
    <w:rsid w:val="00E40025"/>
    <w:rsid w:val="00EF54A5"/>
    <w:rsid w:val="00F0296C"/>
    <w:rsid w:val="00F55886"/>
    <w:rsid w:val="00FC0D94"/>
    <w:rsid w:val="00FD7787"/>
    <w:rsid w:val="65AA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0D66"/>
    <w:pPr>
      <w:ind w:left="708"/>
    </w:pPr>
    <w:rPr>
      <w:rFonts w:ascii="Times New Roman" w:hAnsi="Times New Roman" w:cs="Times New Roman"/>
      <w:lang w:eastAsia="ru-RU"/>
    </w:rPr>
  </w:style>
  <w:style w:type="character" w:styleId="a3">
    <w:name w:val="Strong"/>
    <w:qFormat/>
    <w:rsid w:val="00A104A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0D66"/>
    <w:pPr>
      <w:ind w:left="708"/>
    </w:pPr>
    <w:rPr>
      <w:rFonts w:ascii="Times New Roman" w:hAnsi="Times New Roman" w:cs="Times New Roman"/>
      <w:lang w:eastAsia="ru-RU"/>
    </w:rPr>
  </w:style>
  <w:style w:type="character" w:styleId="a3">
    <w:name w:val="Strong"/>
    <w:qFormat/>
    <w:rsid w:val="00A104A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1815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 G50</cp:lastModifiedBy>
  <cp:revision>8</cp:revision>
  <dcterms:created xsi:type="dcterms:W3CDTF">2023-09-18T12:51:00Z</dcterms:created>
  <dcterms:modified xsi:type="dcterms:W3CDTF">2023-10-03T12:03:00Z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BC4355269AF645A4A7B0CA619122FDFC</vt:lpwstr>
  </property>
</Properties>
</file>