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45" w:rsidRDefault="00306645" w:rsidP="002348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B7CC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Pr="007B7C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501E9" w:rsidRPr="007B7CC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2348ED" w:rsidRDefault="002348ED" w:rsidP="002348ED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</w:p>
    <w:p w:rsidR="002348ED" w:rsidRPr="007B7CC1" w:rsidRDefault="002348ED" w:rsidP="0030664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06645" w:rsidRPr="00182FF9" w:rsidRDefault="00306645" w:rsidP="0030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Кваліфікаційні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критерії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документів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підтверджують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учасників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відповідність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їх</w:t>
      </w:r>
      <w:proofErr w:type="spellEnd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таким </w:t>
      </w:r>
      <w:proofErr w:type="spellStart"/>
      <w:r w:rsidRPr="00182FF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критеріям</w:t>
      </w:r>
      <w:proofErr w:type="spellEnd"/>
    </w:p>
    <w:p w:rsidR="005C699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45" w:rsidRP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3B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E73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73B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E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F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F0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FB">
        <w:rPr>
          <w:rFonts w:ascii="Times New Roman" w:hAnsi="Times New Roman" w:cs="Times New Roman"/>
          <w:sz w:val="24"/>
          <w:szCs w:val="24"/>
        </w:rPr>
        <w:t>про</w:t>
      </w:r>
      <w:r w:rsidRPr="004E73B3">
        <w:rPr>
          <w:rFonts w:ascii="Times New Roman" w:hAnsi="Times New Roman" w:cs="Times New Roman"/>
          <w:sz w:val="24"/>
          <w:szCs w:val="24"/>
        </w:rPr>
        <w:t>відповідн</w:t>
      </w:r>
      <w:r w:rsidR="00F00BFB">
        <w:rPr>
          <w:rFonts w:ascii="Times New Roman" w:hAnsi="Times New Roman" w:cs="Times New Roman"/>
          <w:sz w:val="24"/>
          <w:szCs w:val="24"/>
        </w:rPr>
        <w:t>і</w:t>
      </w:r>
      <w:r w:rsidRPr="004E73B3">
        <w:rPr>
          <w:rFonts w:ascii="Times New Roman" w:hAnsi="Times New Roman" w:cs="Times New Roman"/>
          <w:sz w:val="24"/>
          <w:szCs w:val="24"/>
        </w:rPr>
        <w:t>ст</w:t>
      </w:r>
      <w:r w:rsidR="00F00BF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B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E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B3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4E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3B3">
        <w:rPr>
          <w:rFonts w:ascii="Times New Roman" w:hAnsi="Times New Roman" w:cs="Times New Roman"/>
          <w:sz w:val="24"/>
          <w:szCs w:val="24"/>
        </w:rPr>
        <w:t>критері</w:t>
      </w:r>
      <w:r w:rsidR="008F582F" w:rsidRPr="004E73B3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="00F00B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73B3">
        <w:rPr>
          <w:rFonts w:ascii="Times New Roman" w:hAnsi="Times New Roman" w:cs="Times New Roman"/>
          <w:sz w:val="24"/>
          <w:szCs w:val="24"/>
        </w:rPr>
        <w:t>ч. 2 ст. 16 Закону</w:t>
      </w:r>
      <w:r w:rsidR="00F00BFB">
        <w:rPr>
          <w:rFonts w:ascii="Times New Roman" w:hAnsi="Times New Roman" w:cs="Times New Roman"/>
          <w:sz w:val="24"/>
          <w:szCs w:val="24"/>
        </w:rPr>
        <w:t>)</w:t>
      </w:r>
      <w:r w:rsidR="00BC2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74"/>
        <w:gridCol w:w="5553"/>
      </w:tblGrid>
      <w:tr w:rsidR="00306645" w:rsidRPr="00306645" w:rsidTr="00435E0D">
        <w:tc>
          <w:tcPr>
            <w:tcW w:w="560" w:type="dxa"/>
          </w:tcPr>
          <w:p w:rsidR="00306645" w:rsidRPr="00306645" w:rsidRDefault="00306645" w:rsidP="006E69E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E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74" w:type="dxa"/>
          </w:tcPr>
          <w:p w:rsidR="00306645" w:rsidRPr="00306645" w:rsidRDefault="00306645" w:rsidP="0030664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</w:p>
          <w:p w:rsidR="00306645" w:rsidRPr="00306645" w:rsidRDefault="00306645" w:rsidP="0030664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306645" w:rsidRPr="00306645" w:rsidRDefault="00306645" w:rsidP="0030664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підтверджують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кваліфікаційним</w:t>
            </w:r>
            <w:proofErr w:type="spellEnd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критеріям</w:t>
            </w:r>
            <w:proofErr w:type="spellEnd"/>
          </w:p>
        </w:tc>
      </w:tr>
      <w:tr w:rsidR="000627F2" w:rsidRPr="002223C7" w:rsidTr="00435E0D">
        <w:tc>
          <w:tcPr>
            <w:tcW w:w="560" w:type="dxa"/>
          </w:tcPr>
          <w:p w:rsidR="000627F2" w:rsidRDefault="000627F2" w:rsidP="0007155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0627F2" w:rsidRPr="00306645" w:rsidRDefault="000627F2" w:rsidP="00C60BE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>механіз</w:t>
            </w:r>
            <w:r w:rsidR="00791485">
              <w:rPr>
                <w:rFonts w:ascii="Times New Roman" w:hAnsi="Times New Roman" w:cs="Times New Roman"/>
                <w:sz w:val="24"/>
                <w:szCs w:val="24"/>
              </w:rPr>
              <w:t>мів</w:t>
            </w:r>
            <w:proofErr w:type="spellEnd"/>
            <w:r w:rsidR="00791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48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791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485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="00791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91485" w:rsidRPr="00791485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553" w:type="dxa"/>
          </w:tcPr>
          <w:p w:rsidR="000627F2" w:rsidRDefault="000627F2" w:rsidP="00596F2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0" w:hanging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механізмів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устаткування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матеріально-технічної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  <w:r w:rsidR="00596F24" w:rsidRPr="005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складеної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повинна містити інформацію про наявність у власності/користуванні Учасника машин, механізмів та техніки в кількості не менше, визначеної в тендерній документації, а саме: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EB204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Кран на автомобільному ходу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вантажопідйомність не менше 20 т.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Вантажний самоскид вантажопідйомність не менше 20.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Агрегат зварювальний пересувний, номінальний зварювальний струм 250-400 А.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Компресор пересувний.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Електростанція пересувна потужність не менше 10 кВт.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Автогрейдер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Пiдiймач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щогловий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будiвельн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ий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, (або аналог)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.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</w:t>
            </w:r>
          </w:p>
          <w:p w:rsidR="000627F2" w:rsidRPr="00BA3660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екскаватор.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BA366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навантажувач вантажопідйомністю не менше 5 т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.</w:t>
            </w:r>
          </w:p>
          <w:p w:rsidR="000627F2" w:rsidRDefault="000627F2" w:rsidP="000627F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коток самохідний.</w:t>
            </w:r>
            <w:r w:rsidRPr="00BA366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</w:t>
            </w:r>
          </w:p>
          <w:p w:rsidR="00791485" w:rsidRPr="00791485" w:rsidRDefault="00791485" w:rsidP="00791485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Для підтвердження інформації зазначеної в Довідці про наявність машин (транспортних засобів), механізмів, обладнання, устаткування та матеріально-технічної бази та технологій, учасник повинен надати: </w:t>
            </w:r>
          </w:p>
          <w:p w:rsidR="00791485" w:rsidRPr="00791485" w:rsidRDefault="00791485" w:rsidP="00791485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</w:r>
            <w:proofErr w:type="spellStart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скан</w:t>
            </w:r>
            <w:proofErr w:type="spellEnd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копії оригіналу свідоцтва про реєстрацію транспортних засобів (для рухомого майна) у разі, якщо передбачено державну реєстрацію машин і механізмів/транспортних засобів уповноваженими органами МВС;</w:t>
            </w:r>
          </w:p>
          <w:p w:rsidR="00791485" w:rsidRDefault="00791485" w:rsidP="00791485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</w:r>
            <w:proofErr w:type="spellStart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скан</w:t>
            </w:r>
            <w:proofErr w:type="spellEnd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копію документа, що засвідчує останню повірку та підтверджують можливість використання теодоліту, нівеліра, рівня та мірної рейки, що будуть використовуватись учасником в ході виконання робіт;</w:t>
            </w:r>
          </w:p>
          <w:p w:rsidR="00791485" w:rsidRDefault="00791485" w:rsidP="0079148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- </w:t>
            </w:r>
            <w:proofErr w:type="spellStart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скан</w:t>
            </w:r>
            <w:proofErr w:type="spellEnd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копії сторінок Паспорта (або документа, що його заміняє) вантажопідйомної машини (крана) та/або механізму, де міститься найменування, тип, </w:t>
            </w: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lastRenderedPageBreak/>
              <w:t>індекс (у тому числі виконання) обладнання та його заводський (серійний) та обліковий номери та сторінки з відміткою останнього технічного огляду (експертного обстеження).</w:t>
            </w:r>
          </w:p>
          <w:p w:rsidR="00791485" w:rsidRPr="00791485" w:rsidRDefault="00791485" w:rsidP="00791485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Для іншого обладнання, механізмів та устаткування, щодо якого не передбачено державну реєстрацію уповноваженими органами МВС, та перебуває у власності, учасник надає </w:t>
            </w:r>
            <w:proofErr w:type="spellStart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скан</w:t>
            </w:r>
            <w:proofErr w:type="spellEnd"/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копії видаткових накладних, або актів приймання-передачі, тощо, або інший документ яким учасник може підтвердити власне право користування;</w:t>
            </w:r>
          </w:p>
          <w:p w:rsidR="003F6274" w:rsidRPr="003F6274" w:rsidRDefault="00791485" w:rsidP="003F6274">
            <w:pPr>
              <w:pStyle w:val="a3"/>
              <w:widowControl w:val="0"/>
              <w:shd w:val="clear" w:color="auto" w:fill="FFFFFF" w:themeFill="background1"/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FFFF" w:themeColor="background1"/>
                <w:spacing w:val="-3"/>
                <w:sz w:val="24"/>
                <w:szCs w:val="24"/>
                <w:lang w:val="uk-UA" w:eastAsia="zh-CN"/>
              </w:rPr>
            </w:pPr>
            <w:r w:rsidRPr="0079148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</w:r>
            <w:r w:rsidR="003F627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У разі залучення до виконання робіт машин, механізмів, обладнання та устаткуванням на умовах оренди, лізингу,</w:t>
            </w:r>
            <w:r w:rsidR="0046114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</w:t>
            </w:r>
            <w:r w:rsidR="003F627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надання послуг техніки, тощо</w:t>
            </w:r>
            <w:r w:rsidR="0046114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надається документ, що підтверджує підстави залучення учасником зазначеної техніки (договір оренди, лізингу, надання послуг техніки, тощо). Договори повинні бути чинні на дату подання пропозиції і термін їх дії повинен бути не меншим ніж до 31.12.2022 року, або ж повинен бути представлений протокол намірів про продовження терміну дії договору до 31 грудня 2022 року та лист-підтвердження від власника машин, механізмів, обладнання та устаткування, в </w:t>
            </w:r>
            <w:proofErr w:type="spellStart"/>
            <w:r w:rsidR="0046114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т.ч</w:t>
            </w:r>
            <w:proofErr w:type="spellEnd"/>
            <w:r w:rsidR="0046114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. транспортних засобів (на кожну одиницю вказану в таблиці Учасника) щодо </w:t>
            </w:r>
            <w:proofErr w:type="spellStart"/>
            <w:r w:rsidR="0046114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незаперечення</w:t>
            </w:r>
            <w:proofErr w:type="spellEnd"/>
            <w:r w:rsidR="00EC30F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використання його машин, механізмів, обладнання та устаткування учасником за предметом закупівлі на весь строк надання послуг за договором. Залучена за договором техніка повинна бути в робочому стані, придатна до експлуатації, в повному комплекті, готова до використання та надання послуг за предметом закупівлі.</w:t>
            </w:r>
            <w:bookmarkStart w:id="0" w:name="_GoBack"/>
            <w:bookmarkEnd w:id="0"/>
            <w:r w:rsidR="00EC30F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</w:t>
            </w:r>
          </w:p>
          <w:p w:rsidR="00485C9A" w:rsidRDefault="00485C9A" w:rsidP="00791485">
            <w:pPr>
              <w:pStyle w:val="a3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485C9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Якщо учасник залучатиме потужності інших суб’єктів господарювання, як субпідрядників/співвиконавців для підтвердження своєї відповідності кваліфікаційним критеріям таким, як наявність обладнання, матеріально-технічної бази та технологій то такий учасник підтверджує їх наявність у субпідрядників/співвиконавців документами, які є аналогічними документам, встановленими для Учасників у відповідності до умов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п.1.</w:t>
            </w:r>
          </w:p>
          <w:p w:rsidR="00485C9A" w:rsidRPr="000627F2" w:rsidRDefault="00485C9A" w:rsidP="00791485">
            <w:pPr>
              <w:pStyle w:val="a3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також, надає у складі тендерної пропозиції  </w:t>
            </w:r>
            <w:proofErr w:type="spellStart"/>
            <w:r w:rsidRPr="0048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</w:t>
            </w:r>
            <w:proofErr w:type="spellEnd"/>
            <w:r w:rsidRPr="0048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-нал(-и) листа-підтвердження(листів-підтверджень) від субпідрядників/співвиконавців із зазначенням замовника та учасника закупівлі, підтверджуючого виконання робіт (надання послуг) як  субпідрядник/співвиконавець протягом періоду виконання робіт (надання послуг) за предметом закупівлі (вказати конкретну назву предмету закупівлі) із зазначенням переліку техніки (машин, механізмів, техніки) субпідрядника/співвиконавця, що залучатиметься до виконання робіт (надання </w:t>
            </w:r>
            <w:r w:rsidRPr="0048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послуг).</w:t>
            </w:r>
          </w:p>
        </w:tc>
      </w:tr>
      <w:tr w:rsidR="00306645" w:rsidRPr="002223C7" w:rsidTr="00435E0D">
        <w:tc>
          <w:tcPr>
            <w:tcW w:w="560" w:type="dxa"/>
          </w:tcPr>
          <w:p w:rsidR="00306645" w:rsidRPr="00306645" w:rsidRDefault="000627F2" w:rsidP="0007155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4" w:type="dxa"/>
          </w:tcPr>
          <w:p w:rsidR="00306645" w:rsidRPr="00306645" w:rsidRDefault="000627F2" w:rsidP="00C60BE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27F2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5553" w:type="dxa"/>
          </w:tcPr>
          <w:p w:rsidR="000B0C7C" w:rsidRDefault="00596F24" w:rsidP="00596F2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96F24">
              <w:rPr>
                <w:b/>
              </w:rPr>
              <w:t xml:space="preserve"> </w:t>
            </w:r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складен</w:t>
            </w:r>
            <w:r w:rsidRPr="00596F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містить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основних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спеціалістів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інженерно-технічних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мають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необхідні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визначеної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тендерній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інженер-будівельник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будівельна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та документ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засвідчує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допуск до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висоті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>) - 1 особа;</w:t>
            </w:r>
          </w:p>
          <w:p w:rsidR="00596F24" w:rsidRPr="00596F24" w:rsidRDefault="00596F24" w:rsidP="00596F24">
            <w:pPr>
              <w:widowControl w:val="0"/>
              <w:tabs>
                <w:tab w:val="left" w:pos="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96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– 1 особа;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24">
              <w:rPr>
                <w:rFonts w:ascii="Times New Roman" w:hAnsi="Times New Roman"/>
                <w:sz w:val="24"/>
                <w:szCs w:val="24"/>
              </w:rPr>
              <w:t>-</w:t>
            </w:r>
            <w:r w:rsidRPr="00596F2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>– 1 особа;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24">
              <w:rPr>
                <w:rFonts w:ascii="Times New Roman" w:hAnsi="Times New Roman"/>
                <w:sz w:val="24"/>
                <w:szCs w:val="24"/>
              </w:rPr>
              <w:t>-</w:t>
            </w:r>
            <w:r w:rsidRPr="00596F2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з проектно-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- 1 особа;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ремонтно-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– 1 особа;</w:t>
            </w:r>
          </w:p>
          <w:p w:rsid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59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F24">
              <w:rPr>
                <w:rFonts w:ascii="Times New Roman" w:hAnsi="Times New Roman"/>
                <w:sz w:val="24"/>
                <w:szCs w:val="24"/>
              </w:rPr>
              <w:t>інженер-енергетик</w:t>
            </w:r>
            <w:proofErr w:type="spellEnd"/>
            <w:r w:rsidRPr="00596F2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Pr="00596F24">
              <w:rPr>
                <w:rFonts w:ascii="Times New Roman" w:hAnsi="Times New Roman"/>
                <w:sz w:val="24"/>
                <w:szCs w:val="24"/>
              </w:rPr>
              <w:t>особа.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6F24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Кваліфікація та досвід основних спеціалістів (інженерно-технічних працівників) учасника підтверджується документами про освіту та/або підвищення кваліфікації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 також </w:t>
            </w:r>
            <w:r w:rsidRPr="00596F24">
              <w:rPr>
                <w:rFonts w:ascii="Times New Roman" w:hAnsi="Times New Roman"/>
                <w:sz w:val="24"/>
                <w:szCs w:val="24"/>
                <w:lang w:val="uk-UA"/>
              </w:rPr>
              <w:t>наказів про призначення їх на посаду (подається у наступному вигляді: сканована копія або сканований оригінал).</w:t>
            </w:r>
          </w:p>
          <w:p w:rsidR="00596F24" w:rsidRP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6F24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Кваліфікація особи, що виконуватиме функції інженера з охорони праці, підтверджується додатково оригіналом документа встановленого законодавством взірця (посвідчення), що містить інформацію про результати перевірки знань з охорони праці.</w:t>
            </w:r>
          </w:p>
          <w:p w:rsidR="00596F24" w:rsidRDefault="00596F24" w:rsidP="00596F24">
            <w:pPr>
              <w:widowControl w:val="0"/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6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 та кваліфікація основних спеціалістів (інженерно-технічних працівників) повинна відповідати відповідній галузі Народного господарства України, до якої відносяться заявлені роботи. Кваліфікація інженера з проектно кошторисної роботи підтверджується діючим кваліфікаційним сертифікатом, який  виданий уповноваженим на це органом.</w:t>
            </w:r>
          </w:p>
          <w:p w:rsidR="00596F24" w:rsidRDefault="00596F24" w:rsidP="00596F2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6F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Довідка,</w:t>
            </w:r>
            <w:r w:rsidRPr="00596F24">
              <w:rPr>
                <w:b/>
                <w:lang w:val="uk-UA"/>
              </w:rPr>
              <w:t xml:space="preserve"> </w:t>
            </w:r>
            <w:r w:rsidRPr="00596F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складена у довільній формі,  що містить інформацію про наявність робітників основних будівельних професій учасника, які мають необхідні знання та досвід з виконання заявлених робіт</w:t>
            </w:r>
            <w:r w:rsidRPr="00596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кількості не менше, визначеної в тендерній документації,  а саме: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-    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     муляр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штукатур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маляр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тесляр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бляхар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покрівельник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будівельний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лицювальник-плиточник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арматурник-бетоняр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сантехнік </w:t>
            </w:r>
          </w:p>
          <w:p w:rsidR="00596F24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електрогазозварник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lastRenderedPageBreak/>
              <w:t>-           електромонтер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водій автотранспортного засобу </w:t>
            </w:r>
          </w:p>
          <w:p w:rsidR="00596F24" w:rsidRPr="00246C50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машиніст крана </w:t>
            </w:r>
          </w:p>
          <w:p w:rsidR="00596F24" w:rsidRDefault="00596F24" w:rsidP="00596F24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ab/>
              <w:t xml:space="preserve">машиніст екскаватора </w:t>
            </w:r>
          </w:p>
          <w:p w:rsidR="006F7074" w:rsidRDefault="006F7074" w:rsidP="006F7074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6F707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Додатково учасник подає копію з оригіналу посвідчення (або документ, що його заміняє) для підтвердження кваліфікації машиніста автокрану (кранівника).</w:t>
            </w:r>
          </w:p>
          <w:p w:rsidR="00596F24" w:rsidRDefault="00485C9A" w:rsidP="00485C9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485C9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Наявність в учасника основних будівельних професій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підтверджується</w:t>
            </w:r>
            <w:r w:rsidRPr="00485C9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оригіналом/копією штатного розпису (за наявності), та/або оригіналами інших документів, передбаченими чинним законодавством України, на кожну особу зазначену у довідці.</w:t>
            </w:r>
          </w:p>
          <w:p w:rsidR="00485C9A" w:rsidRDefault="00485C9A" w:rsidP="00485C9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485C9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Якщо учасник залучатиме потужності інших суб’єктів господарювання, як субпідрядників/співвиконавців для  підтвердження своєї відповідності кваліфікаційним критеріям таким, як наявність працівників, які мають необхідні знання та досвід то такий учасник підтверджує їх наявність у субпідрядників/співвиконавців документами, які є аналогічними документам, встановленими для Учасників у відповідності до умов</w:t>
            </w:r>
            <w:r w:rsidR="00B50C7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п.2.</w:t>
            </w:r>
          </w:p>
          <w:p w:rsidR="00485C9A" w:rsidRPr="00485C9A" w:rsidRDefault="00485C9A" w:rsidP="00485C9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485C9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А також, надає у складі тендерної пропозиції  оригінал(-и) листа-підтвердження (листів-підтверджень) від субпідрядників/співвиконавців із зазначенням замовника та учасника закупівлі, підтверджуючого виконання робіт (надання послуг) як  субпідрядник/співвиконавець протягом періоду виконання робіт (надання послуг) за предметом закупівлі (вказати конкретну назву предмету закупівлі) із зазначенням ПІБ та посад працівників субпідрядника/співвиконавця, що залучатимуться до виконання робіт (надання послуг).</w:t>
            </w:r>
          </w:p>
        </w:tc>
      </w:tr>
      <w:tr w:rsidR="000627F2" w:rsidRPr="002223C7" w:rsidTr="00061C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F2" w:rsidRPr="00596F24" w:rsidRDefault="004C420F" w:rsidP="000627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4" w:type="dxa"/>
          </w:tcPr>
          <w:p w:rsidR="000627F2" w:rsidRPr="00306645" w:rsidRDefault="000627F2" w:rsidP="000627F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аналогічн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627F2" w:rsidRPr="001C130D" w:rsidRDefault="004C420F" w:rsidP="000627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0F">
              <w:rPr>
                <w:rFonts w:ascii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4C42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C420F">
              <w:rPr>
                <w:b/>
              </w:rPr>
              <w:t xml:space="preserve"> </w:t>
            </w:r>
            <w:r w:rsidRPr="004C420F">
              <w:rPr>
                <w:rFonts w:ascii="Times New Roman" w:hAnsi="Times New Roman"/>
                <w:b/>
                <w:sz w:val="24"/>
                <w:szCs w:val="24"/>
              </w:rPr>
              <w:t>складен</w:t>
            </w:r>
            <w:r w:rsidRPr="004C42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C420F">
              <w:rPr>
                <w:rFonts w:ascii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20F">
              <w:rPr>
                <w:rFonts w:ascii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4C42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інформацією</w:t>
            </w:r>
            <w:proofErr w:type="spellEnd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аналогічного</w:t>
            </w:r>
            <w:proofErr w:type="spellEnd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аналогічних</w:t>
            </w:r>
            <w:proofErr w:type="spellEnd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) договору (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 xml:space="preserve">) про </w:t>
            </w:r>
            <w:proofErr w:type="spellStart"/>
            <w:r w:rsidR="000627F2" w:rsidRPr="004C420F">
              <w:rPr>
                <w:rFonts w:ascii="Times New Roman" w:hAnsi="Times New Roman"/>
                <w:b/>
                <w:sz w:val="24"/>
                <w:szCs w:val="24"/>
              </w:rPr>
              <w:t>закупівлю</w:t>
            </w:r>
            <w:proofErr w:type="spellEnd"/>
            <w:r w:rsidR="000627F2" w:rsidRPr="001C13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627F2" w:rsidRPr="001C130D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="000627F2" w:rsidRPr="001C13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627F2" w:rsidRPr="001C130D">
              <w:rPr>
                <w:rFonts w:ascii="Times New Roman" w:hAnsi="Times New Roman"/>
                <w:sz w:val="24"/>
                <w:szCs w:val="24"/>
              </w:rPr>
              <w:t>укладених</w:t>
            </w:r>
            <w:proofErr w:type="spellEnd"/>
            <w:r w:rsidR="000627F2" w:rsidRPr="001C130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періодів</w:t>
            </w:r>
            <w:r w:rsidR="000627F2" w:rsidRPr="001C13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27F2" w:rsidRPr="001C130D">
              <w:rPr>
                <w:rFonts w:ascii="Times New Roman" w:hAnsi="Times New Roman"/>
                <w:sz w:val="24"/>
                <w:szCs w:val="24"/>
              </w:rPr>
              <w:t>-2021 роки</w:t>
            </w:r>
            <w:r w:rsidR="00062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82" w:rsidRPr="00246C50" w:rsidRDefault="001F5082" w:rsidP="001F5082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На підтвердження надати не менше трьох оригіналів аналогічних договорів, інформацію щодо яких вказано у довідці про виконання аналогічних договорів.  Аналогічним договором вважається договір предмет договору якого відповідає предмету закупівлі, а саме: капітальний ремонт об’єктів будівництва або реконструкція об’єктів будівництва або будівництво об’єктів будівництва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.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На підтвердження інформації щодо виконання поданого(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договору(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надати:</w:t>
            </w:r>
          </w:p>
          <w:p w:rsidR="001F5082" w:rsidRPr="00246C50" w:rsidRDefault="001F5082" w:rsidP="001F5082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 оригінал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/копія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аналогічного договору з усіма додатками та невід’ємними частинами до договору (у 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lastRenderedPageBreak/>
              <w:t>разі надання Учасником на підтвердження досвіду виконання аналогічного(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договору(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договір(и) субпідряду/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субвиконання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, то в такому випадку Учасник додатково надає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копiю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(ї) завершеного(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договору(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) генерального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підряду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та відгук повинен бути виданий замовником та адресований учаснику);</w:t>
            </w:r>
          </w:p>
          <w:p w:rsidR="001F5082" w:rsidRPr="00246C50" w:rsidRDefault="001F5082" w:rsidP="001F5082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- </w:t>
            </w:r>
            <w:r w:rsidRPr="00BA366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оригінал/копія </w:t>
            </w: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(-и) акту(-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) приймання виконаних будівельних робіт (форми КБ-2в) та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довiдки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(-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ок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) про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вapтicть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виконаних будівельних 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робiт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 та витрати (форми КБ-3);</w:t>
            </w:r>
          </w:p>
          <w:p w:rsidR="001F5082" w:rsidRDefault="001F5082" w:rsidP="001F5082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 оригінал позитивного листа-відгука(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про співпрацю по договору від Замовника будівництва, що вказані в інформаційній довідці про виконання аналогічного(-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) договору(-</w:t>
            </w:r>
            <w:proofErr w:type="spellStart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246C5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 xml:space="preserve">). Відгук повинен мати посилання на договір, який виконувався та бути належно оформлений, містити вихідний номер та дату видачі такого документу. </w:t>
            </w:r>
          </w:p>
          <w:p w:rsidR="001F5082" w:rsidRPr="001F5082" w:rsidRDefault="001F5082" w:rsidP="001F5082">
            <w:pPr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</w:pPr>
            <w:r w:rsidRPr="00BA366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zh-CN"/>
              </w:rPr>
              <w:t>- оригінали/копії документів (встановленого взірця), що засвідчують готовність об’єктів до експлуатації, роботи по яких виконувались згідно договорів, наданих в якості аналогічних або лист роз’яснення від учасника з посиланням на сторінку сайту уповноваженого, видавати такі документи органу, де розміщено інформацію про введення об’єктів в експлуатацію.</w:t>
            </w:r>
          </w:p>
        </w:tc>
      </w:tr>
      <w:tr w:rsidR="00EA06F2" w:rsidRPr="002223C7" w:rsidTr="00DC0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2" w:rsidRPr="00EA06F2" w:rsidRDefault="00EA06F2" w:rsidP="00EA06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F2" w:rsidRPr="00EA06F2" w:rsidRDefault="00EA06F2" w:rsidP="00EA06F2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06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Наявність фінансової спроможності, яка </w:t>
            </w:r>
            <w:proofErr w:type="spellStart"/>
            <w:r w:rsidRPr="00EA06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</w:t>
            </w:r>
            <w:proofErr w:type="spellEnd"/>
            <w:r w:rsidRPr="00EA06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-жується фінансовою звітністю.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2" w:rsidRPr="00EA06F2" w:rsidRDefault="00EA06F2" w:rsidP="00EA0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документально підтверджує наявність річного доходу(обороту)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грошових коштів учасника за 2021</w:t>
            </w:r>
            <w:r w:rsidRPr="00EA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який повинен бути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меншим ніж 100</w:t>
            </w:r>
            <w:r w:rsidRPr="00EA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 очікуваної вартості предмета закупівлі. На виконання цієї вимоги учасник надає у складі тендерної пропозиції один із документів фінансової звітності (Баланс підприємства, Звіт про фінансові результати,  Звіт про рух грошових коштів, тощо).</w:t>
            </w:r>
          </w:p>
        </w:tc>
      </w:tr>
    </w:tbl>
    <w:p w:rsidR="00153E10" w:rsidRPr="001F5082" w:rsidRDefault="00153E10" w:rsidP="00814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sectPr w:rsidR="00153E10" w:rsidRPr="001F5082" w:rsidSect="0095012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A02"/>
    <w:multiLevelType w:val="hybridMultilevel"/>
    <w:tmpl w:val="97563C54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8E911B6"/>
    <w:multiLevelType w:val="hybridMultilevel"/>
    <w:tmpl w:val="310620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0903CA"/>
    <w:multiLevelType w:val="hybridMultilevel"/>
    <w:tmpl w:val="C74AE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735"/>
    <w:multiLevelType w:val="hybridMultilevel"/>
    <w:tmpl w:val="5D68D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72018D"/>
    <w:multiLevelType w:val="hybridMultilevel"/>
    <w:tmpl w:val="FB101994"/>
    <w:lvl w:ilvl="0" w:tplc="A796D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45"/>
    <w:rsid w:val="0000634A"/>
    <w:rsid w:val="0004569E"/>
    <w:rsid w:val="00050407"/>
    <w:rsid w:val="000627F2"/>
    <w:rsid w:val="0007155E"/>
    <w:rsid w:val="00093610"/>
    <w:rsid w:val="000B0C7C"/>
    <w:rsid w:val="000B4501"/>
    <w:rsid w:val="000E4CD3"/>
    <w:rsid w:val="0012716D"/>
    <w:rsid w:val="00153E10"/>
    <w:rsid w:val="00182FF9"/>
    <w:rsid w:val="0019138A"/>
    <w:rsid w:val="001A05C4"/>
    <w:rsid w:val="001C130D"/>
    <w:rsid w:val="001C1F60"/>
    <w:rsid w:val="001C70F8"/>
    <w:rsid w:val="001C7A12"/>
    <w:rsid w:val="001D1E89"/>
    <w:rsid w:val="001D7105"/>
    <w:rsid w:val="001F5082"/>
    <w:rsid w:val="0020040E"/>
    <w:rsid w:val="00215332"/>
    <w:rsid w:val="002223C7"/>
    <w:rsid w:val="002272EB"/>
    <w:rsid w:val="002348ED"/>
    <w:rsid w:val="002555DA"/>
    <w:rsid w:val="00256D7C"/>
    <w:rsid w:val="0026411C"/>
    <w:rsid w:val="0026599F"/>
    <w:rsid w:val="002774B4"/>
    <w:rsid w:val="00280DDD"/>
    <w:rsid w:val="002C1FCE"/>
    <w:rsid w:val="002C2643"/>
    <w:rsid w:val="002D406F"/>
    <w:rsid w:val="002D77BE"/>
    <w:rsid w:val="002E0533"/>
    <w:rsid w:val="003029B2"/>
    <w:rsid w:val="003030F3"/>
    <w:rsid w:val="00306645"/>
    <w:rsid w:val="00320639"/>
    <w:rsid w:val="003401A6"/>
    <w:rsid w:val="00342368"/>
    <w:rsid w:val="00365590"/>
    <w:rsid w:val="00380C95"/>
    <w:rsid w:val="003A6083"/>
    <w:rsid w:val="003B3FB2"/>
    <w:rsid w:val="003C7970"/>
    <w:rsid w:val="003D353C"/>
    <w:rsid w:val="003F6274"/>
    <w:rsid w:val="00402AA5"/>
    <w:rsid w:val="0041059C"/>
    <w:rsid w:val="00427C1E"/>
    <w:rsid w:val="00431AF5"/>
    <w:rsid w:val="00435E0D"/>
    <w:rsid w:val="004366E6"/>
    <w:rsid w:val="00452A2F"/>
    <w:rsid w:val="00461141"/>
    <w:rsid w:val="00484687"/>
    <w:rsid w:val="00485C9A"/>
    <w:rsid w:val="004C420F"/>
    <w:rsid w:val="004E73B3"/>
    <w:rsid w:val="004F1EB0"/>
    <w:rsid w:val="00522AE2"/>
    <w:rsid w:val="0053532E"/>
    <w:rsid w:val="005519F6"/>
    <w:rsid w:val="00553D27"/>
    <w:rsid w:val="00565C12"/>
    <w:rsid w:val="005732BF"/>
    <w:rsid w:val="005741B9"/>
    <w:rsid w:val="00577631"/>
    <w:rsid w:val="00596F24"/>
    <w:rsid w:val="005A16E2"/>
    <w:rsid w:val="005C699B"/>
    <w:rsid w:val="005E71D5"/>
    <w:rsid w:val="005F0F36"/>
    <w:rsid w:val="00651262"/>
    <w:rsid w:val="006D2049"/>
    <w:rsid w:val="006E69E8"/>
    <w:rsid w:val="006F7074"/>
    <w:rsid w:val="00706B0F"/>
    <w:rsid w:val="00791485"/>
    <w:rsid w:val="007A1399"/>
    <w:rsid w:val="007A45BB"/>
    <w:rsid w:val="007A52D8"/>
    <w:rsid w:val="007B1E5F"/>
    <w:rsid w:val="007B356D"/>
    <w:rsid w:val="007B7CC1"/>
    <w:rsid w:val="007C21AF"/>
    <w:rsid w:val="007D7EDF"/>
    <w:rsid w:val="007F5281"/>
    <w:rsid w:val="00800EB4"/>
    <w:rsid w:val="00810E01"/>
    <w:rsid w:val="00814498"/>
    <w:rsid w:val="0086588D"/>
    <w:rsid w:val="00896635"/>
    <w:rsid w:val="008F582F"/>
    <w:rsid w:val="008F75A4"/>
    <w:rsid w:val="00943CA1"/>
    <w:rsid w:val="0094547E"/>
    <w:rsid w:val="00950126"/>
    <w:rsid w:val="009627B1"/>
    <w:rsid w:val="009B7B93"/>
    <w:rsid w:val="009C1522"/>
    <w:rsid w:val="009C5119"/>
    <w:rsid w:val="009E0A01"/>
    <w:rsid w:val="009F2375"/>
    <w:rsid w:val="00A26736"/>
    <w:rsid w:val="00A45A5D"/>
    <w:rsid w:val="00A501E9"/>
    <w:rsid w:val="00A62BC4"/>
    <w:rsid w:val="00A74911"/>
    <w:rsid w:val="00AF5198"/>
    <w:rsid w:val="00B26B11"/>
    <w:rsid w:val="00B44E21"/>
    <w:rsid w:val="00B50C7A"/>
    <w:rsid w:val="00B62159"/>
    <w:rsid w:val="00B66145"/>
    <w:rsid w:val="00B802EB"/>
    <w:rsid w:val="00BA4CC9"/>
    <w:rsid w:val="00BB283D"/>
    <w:rsid w:val="00BC28E4"/>
    <w:rsid w:val="00BE1847"/>
    <w:rsid w:val="00BE33E5"/>
    <w:rsid w:val="00C03B15"/>
    <w:rsid w:val="00C259F7"/>
    <w:rsid w:val="00C464F0"/>
    <w:rsid w:val="00C60BE8"/>
    <w:rsid w:val="00C76333"/>
    <w:rsid w:val="00C9366C"/>
    <w:rsid w:val="00CC666D"/>
    <w:rsid w:val="00CE17D7"/>
    <w:rsid w:val="00CF317F"/>
    <w:rsid w:val="00CF491D"/>
    <w:rsid w:val="00D15F2A"/>
    <w:rsid w:val="00D30F23"/>
    <w:rsid w:val="00D42AA1"/>
    <w:rsid w:val="00D447E2"/>
    <w:rsid w:val="00D613E7"/>
    <w:rsid w:val="00D7319A"/>
    <w:rsid w:val="00D73A06"/>
    <w:rsid w:val="00D7624A"/>
    <w:rsid w:val="00D876E0"/>
    <w:rsid w:val="00DB1ED9"/>
    <w:rsid w:val="00DC1082"/>
    <w:rsid w:val="00DE1018"/>
    <w:rsid w:val="00E015D4"/>
    <w:rsid w:val="00E46D60"/>
    <w:rsid w:val="00E57D73"/>
    <w:rsid w:val="00E842E1"/>
    <w:rsid w:val="00E96B3E"/>
    <w:rsid w:val="00EA06F2"/>
    <w:rsid w:val="00EB5A48"/>
    <w:rsid w:val="00EB5CBA"/>
    <w:rsid w:val="00EC30F1"/>
    <w:rsid w:val="00ED2941"/>
    <w:rsid w:val="00EE511B"/>
    <w:rsid w:val="00EF3D0D"/>
    <w:rsid w:val="00F00BFB"/>
    <w:rsid w:val="00F07C48"/>
    <w:rsid w:val="00F65BCB"/>
    <w:rsid w:val="00F83E89"/>
    <w:rsid w:val="00FB1CC1"/>
    <w:rsid w:val="00FB5AE8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30D4"/>
  <w15:docId w15:val="{794E9DDB-41DD-4479-B33D-6948D04C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40E"/>
    <w:rPr>
      <w:color w:val="0000FF" w:themeColor="hyperlink"/>
      <w:u w:val="single"/>
    </w:rPr>
  </w:style>
  <w:style w:type="paragraph" w:customStyle="1" w:styleId="search-previewtext">
    <w:name w:val="search-preview__text"/>
    <w:basedOn w:val="a"/>
    <w:rsid w:val="00D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6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5C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56,baiaagaaboqcaaad5qwaaaxzdaaaaaaaaaaaaaaaaaaaaaaaaaaaaaaaaaaaaaaaaaaaaaaaaaaaaaaaaaaaaaaaaaaaaaaaaaaaaaaaaaaaaaaaaaaaaaaaaaaaaaaaaaaaaaaaaaaaaaaaaaaaaaaaaaaaaaaaaaaaaaaaaaaaaaaaaaaaaaaaaaaaaaaaaaaaaaaaaaaaaaaaaaaaaaaaaaaaaaaaaaaaaaaa"/>
    <w:basedOn w:val="a0"/>
    <w:rsid w:val="003F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2022-05-13T12:46:00Z</cp:lastPrinted>
  <dcterms:created xsi:type="dcterms:W3CDTF">2022-07-11T08:22:00Z</dcterms:created>
  <dcterms:modified xsi:type="dcterms:W3CDTF">2022-07-28T11:11:00Z</dcterms:modified>
</cp:coreProperties>
</file>