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3B2641">
              <w:rPr>
                <w:rFonts w:ascii="Times New Roman" w:eastAsia="Times New Roman" w:hAnsi="Times New Roman" w:cs="Times New Roman"/>
                <w:b/>
                <w:snapToGrid w:val="0"/>
                <w:sz w:val="28"/>
                <w:szCs w:val="28"/>
                <w:lang w:eastAsia="ru-RU"/>
              </w:rPr>
              <w:t>19 » 03. 2024 року № 20</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8352E0"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 ТОВАРУ</w:t>
      </w:r>
      <w:r w:rsidR="005D78D3" w:rsidRPr="005D78D3">
        <w:rPr>
          <w:rFonts w:ascii="Times New Roman" w:eastAsia="Times New Roman" w:hAnsi="Times New Roman" w:cs="Times New Roman"/>
          <w:b/>
          <w:sz w:val="28"/>
          <w:szCs w:val="28"/>
          <w:lang w:eastAsia="ru-RU"/>
        </w:rPr>
        <w:t>:</w:t>
      </w:r>
    </w:p>
    <w:p w:rsidR="00C27106" w:rsidRDefault="00C27106" w:rsidP="00C27106">
      <w:pPr>
        <w:snapToGrid w:val="0"/>
        <w:spacing w:before="20" w:after="20" w:line="240" w:lineRule="auto"/>
        <w:jc w:val="both"/>
        <w:rPr>
          <w:rFonts w:ascii="Times New Roman" w:eastAsia="Times New Roman" w:hAnsi="Times New Roman" w:cs="Times New Roman"/>
          <w:b/>
          <w:bCs/>
          <w:i/>
          <w:iCs/>
          <w:sz w:val="24"/>
          <w:szCs w:val="24"/>
          <w:lang w:eastAsia="ru-RU"/>
        </w:rPr>
      </w:pPr>
    </w:p>
    <w:p w:rsidR="003B2641" w:rsidRPr="003B2641" w:rsidRDefault="00C27106" w:rsidP="003B2641">
      <w:pPr>
        <w:snapToGrid w:val="0"/>
        <w:spacing w:before="20" w:after="2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            </w:t>
      </w:r>
      <w:r w:rsidR="003B2641" w:rsidRPr="003B2641">
        <w:rPr>
          <w:rFonts w:ascii="Times New Roman" w:eastAsia="Times New Roman" w:hAnsi="Times New Roman" w:cs="Times New Roman"/>
          <w:b/>
          <w:bCs/>
          <w:i/>
          <w:iCs/>
          <w:sz w:val="24"/>
          <w:szCs w:val="24"/>
          <w:lang w:eastAsia="ru-RU"/>
        </w:rPr>
        <w:t>Залізобетонні вироби (код ДК 021:2015 –44110000-4 Конструкційні матеріали)</w:t>
      </w:r>
    </w:p>
    <w:p w:rsidR="00C27106" w:rsidRPr="00C27106" w:rsidRDefault="00C27106" w:rsidP="00C27106">
      <w:pPr>
        <w:snapToGrid w:val="0"/>
        <w:spacing w:before="20" w:after="20" w:line="240" w:lineRule="auto"/>
        <w:jc w:val="both"/>
        <w:rPr>
          <w:rFonts w:ascii="Times New Roman" w:eastAsia="Times New Roman" w:hAnsi="Times New Roman" w:cs="Times New Roman"/>
          <w:b/>
          <w:bCs/>
          <w:i/>
          <w:iCs/>
          <w:sz w:val="24"/>
          <w:szCs w:val="24"/>
          <w:lang w:eastAsia="ru-RU"/>
        </w:rPr>
      </w:pPr>
    </w:p>
    <w:p w:rsidR="000D1B74" w:rsidRPr="005D78D3" w:rsidRDefault="000D1B74" w:rsidP="000D1B74">
      <w:pPr>
        <w:spacing w:before="240" w:after="0" w:line="240" w:lineRule="auto"/>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7F09D7">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3B2641" w:rsidRDefault="003B2641" w:rsidP="005D78D3">
      <w:pPr>
        <w:spacing w:before="240" w:after="0" w:line="240" w:lineRule="auto"/>
        <w:jc w:val="center"/>
        <w:rPr>
          <w:rFonts w:ascii="Times New Roman" w:eastAsia="Times New Roman" w:hAnsi="Times New Roman" w:cs="Times New Roman"/>
          <w:sz w:val="24"/>
          <w:szCs w:val="24"/>
        </w:rPr>
      </w:pPr>
    </w:p>
    <w:p w:rsidR="003B2641" w:rsidRDefault="003B2641" w:rsidP="005D78D3">
      <w:pPr>
        <w:spacing w:before="240" w:after="0" w:line="240" w:lineRule="auto"/>
        <w:jc w:val="center"/>
        <w:rPr>
          <w:rFonts w:ascii="Times New Roman" w:eastAsia="Times New Roman" w:hAnsi="Times New Roman" w:cs="Times New Roman"/>
          <w:sz w:val="24"/>
          <w:szCs w:val="24"/>
        </w:rPr>
      </w:pPr>
    </w:p>
    <w:p w:rsidR="003B2641" w:rsidRDefault="003B2641" w:rsidP="005D78D3">
      <w:pPr>
        <w:spacing w:before="240" w:after="0" w:line="240" w:lineRule="auto"/>
        <w:jc w:val="center"/>
        <w:rPr>
          <w:rFonts w:ascii="Times New Roman" w:eastAsia="Times New Roman" w:hAnsi="Times New Roman" w:cs="Times New Roman"/>
          <w:sz w:val="24"/>
          <w:szCs w:val="24"/>
        </w:rPr>
      </w:pPr>
    </w:p>
    <w:p w:rsidR="003B2641" w:rsidRDefault="003B2641"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B2641" w:rsidRPr="003B2641" w:rsidRDefault="003B2641" w:rsidP="003B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i/>
                <w:iCs/>
                <w:sz w:val="24"/>
                <w:szCs w:val="24"/>
              </w:rPr>
            </w:pPr>
            <w:r w:rsidRPr="003B2641">
              <w:rPr>
                <w:rFonts w:ascii="Times New Roman" w:eastAsia="Times New Roman" w:hAnsi="Times New Roman" w:cs="Times New Roman"/>
                <w:b/>
                <w:bCs/>
                <w:i/>
                <w:iCs/>
                <w:sz w:val="24"/>
                <w:szCs w:val="24"/>
              </w:rPr>
              <w:t>Залізобетонні вироби (код ДК 021:2015 –44110000-4 Конструкційні матеріали)</w:t>
            </w:r>
          </w:p>
          <w:p w:rsidR="00CA799D" w:rsidRPr="00FE4EB8" w:rsidRDefault="00CA799D" w:rsidP="003B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FC263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D57EC5" w:rsidRDefault="009A3988" w:rsidP="00D57EC5">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Кількість:</w:t>
            </w:r>
            <w:r>
              <w:rPr>
                <w:rFonts w:ascii="Times New Roman" w:eastAsia="Times New Roman" w:hAnsi="Times New Roman" w:cs="Times New Roman"/>
                <w:sz w:val="24"/>
                <w:szCs w:val="24"/>
              </w:rPr>
              <w:t xml:space="preserve"> </w:t>
            </w:r>
            <w:r w:rsidR="003B2641">
              <w:rPr>
                <w:rFonts w:ascii="Times New Roman" w:eastAsia="Times New Roman" w:hAnsi="Times New Roman" w:cs="Times New Roman"/>
                <w:sz w:val="24"/>
                <w:szCs w:val="24"/>
              </w:rPr>
              <w:t>23 найменувань</w:t>
            </w:r>
          </w:p>
          <w:p w:rsidR="00842552" w:rsidRDefault="00842552" w:rsidP="009A3988">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 поставки:</w:t>
            </w:r>
            <w:r w:rsidR="00FC263D">
              <w:rPr>
                <w:rFonts w:ascii="Times New Roman" w:eastAsia="Times New Roman" w:hAnsi="Times New Roman" w:cs="Times New Roman"/>
                <w:b/>
                <w:sz w:val="24"/>
                <w:szCs w:val="24"/>
              </w:rPr>
              <w:t xml:space="preserve"> м.Київ, проспект Науки,53</w:t>
            </w:r>
          </w:p>
          <w:p w:rsidR="009A3988" w:rsidRPr="00FE4EB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9A398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FA6CB2" w:rsidRDefault="00FA6CB2" w:rsidP="000D1B74">
            <w:pPr>
              <w:widowControl w:val="0"/>
              <w:ind w:right="120"/>
              <w:jc w:val="both"/>
              <w:rPr>
                <w:rFonts w:ascii="Times New Roman" w:eastAsia="Times New Roman" w:hAnsi="Times New Roman" w:cs="Times New Roman"/>
                <w:i/>
                <w:color w:val="4A86E8"/>
                <w:sz w:val="24"/>
                <w:szCs w:val="24"/>
                <w:highlight w:val="white"/>
              </w:rPr>
            </w:pP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7F09D7"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Pr>
                <w:rFonts w:ascii="Times New Roman" w:eastAsia="Times New Roman" w:hAnsi="Times New Roman" w:cs="Times New Roman"/>
                <w:b/>
                <w:color w:val="000000"/>
                <w:sz w:val="24"/>
                <w:szCs w:val="24"/>
              </w:rPr>
              <w:lastRenderedPageBreak/>
              <w:t xml:space="preserve">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379C"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6B379C" w:rsidRPr="006B379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B379C" w:rsidRPr="006B379C">
                <w:rPr>
                  <w:rStyle w:val="a6"/>
                  <w:rFonts w:ascii="Times New Roman" w:eastAsia="Times New Roman" w:hAnsi="Times New Roman" w:cs="Times New Roman"/>
                  <w:sz w:val="24"/>
                  <w:szCs w:val="24"/>
                </w:rPr>
                <w:t>Законом України</w:t>
              </w:r>
            </w:hyperlink>
            <w:r w:rsidR="006B379C" w:rsidRPr="006B379C">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FA6CB2" w:rsidRDefault="006B37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A79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3B2641">
              <w:rPr>
                <w:rFonts w:ascii="Times New Roman" w:eastAsia="Times New Roman" w:hAnsi="Times New Roman" w:cs="Times New Roman"/>
                <w:b/>
                <w:color w:val="FF0000"/>
                <w:sz w:val="24"/>
                <w:szCs w:val="24"/>
              </w:rPr>
              <w:t>27</w:t>
            </w:r>
            <w:r w:rsidR="00C27106">
              <w:rPr>
                <w:rFonts w:ascii="Times New Roman" w:eastAsia="Times New Roman" w:hAnsi="Times New Roman" w:cs="Times New Roman"/>
                <w:b/>
                <w:color w:val="FF0000"/>
                <w:sz w:val="24"/>
                <w:szCs w:val="24"/>
              </w:rPr>
              <w:t xml:space="preserve"> </w:t>
            </w:r>
            <w:r w:rsidR="00842552">
              <w:rPr>
                <w:rFonts w:ascii="Times New Roman" w:eastAsia="Times New Roman" w:hAnsi="Times New Roman" w:cs="Times New Roman"/>
                <w:b/>
                <w:color w:val="FF0000"/>
                <w:sz w:val="24"/>
                <w:szCs w:val="24"/>
              </w:rPr>
              <w:t>березня</w:t>
            </w:r>
            <w:r w:rsidR="00D87094">
              <w:rPr>
                <w:rFonts w:ascii="Times New Roman" w:eastAsia="Times New Roman" w:hAnsi="Times New Roman" w:cs="Times New Roman"/>
                <w:b/>
                <w:color w:val="FF0000"/>
                <w:sz w:val="24"/>
                <w:szCs w:val="24"/>
              </w:rPr>
              <w:t xml:space="preserve"> 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color w:val="00B050"/>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отримання достовірної інформації про </w:t>
            </w:r>
            <w:r>
              <w:rPr>
                <w:rFonts w:ascii="Times New Roman" w:eastAsia="Times New Roman" w:hAnsi="Times New Roman" w:cs="Times New Roman"/>
                <w:color w:val="00B050"/>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 xml:space="preserve">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736C5" w:rsidRPr="00A736C5" w:rsidRDefault="00CA799D"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736C5" w:rsidRPr="00A736C5">
              <w:rPr>
                <w:rFonts w:ascii="Times New Roman" w:eastAsia="Times New Roman" w:hAnsi="Times New Roman" w:cs="Times New Roman"/>
                <w:sz w:val="24"/>
                <w:szCs w:val="24"/>
                <w:highlight w:val="white"/>
              </w:rPr>
              <w:t xml:space="preserve"> </w:t>
            </w:r>
            <w:r w:rsidR="00A736C5" w:rsidRPr="00A736C5">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 також враховувати, що в Україні замовникам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забороняється здійснювати публічні закупівлі товарів, робіт</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 послуг у громадян Російської Федерації/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Ісламської Республіки Іран (крім тих, що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проживають на території України на законних підставах);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юридичних 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юридичних осіб, утворених та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зареєстрованих відповідно до законодавства України,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кінцевим бенефіціарним власником, членом або учасником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(акціонером), що має частку в статутному капіталі 10 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більше відсотків (далі — активи), якої є Російська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Федерація/ Республіка Білорусь/ Ісламська Республіка Іран,</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громадянин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тих, що проживають на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території України на законних підставах), або юридичних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випадків коли активи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lastRenderedPageBreak/>
              <w:t>установленому законодавством порядку передані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управління Національному агентству з питань виявлення,</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розшуку та управління активами, одержаними від</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корупційних та інших злочинів;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замовникам забороняється здійснювати публічні закупівлі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товарів походженням з Російської Федерації /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 Ісламської Республіки Іран, за винятком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походженням з Російської Федерації /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необхідних для ремонту та обслуговування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придбаних до набрання чинності постановою №1178.</w:t>
            </w:r>
          </w:p>
          <w:p w:rsidR="00FA6CB2" w:rsidRDefault="00CA799D" w:rsidP="00A736C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36C5" w:rsidRDefault="00CA799D" w:rsidP="00A736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r w:rsidR="00A736C5" w:rsidRPr="00A736C5">
              <w:rPr>
                <w:rFonts w:ascii="Times New Roman" w:eastAsia="Times New Roman" w:hAnsi="Times New Roman" w:cs="Times New Roman"/>
                <w:sz w:val="24"/>
                <w:szCs w:val="24"/>
                <w:highlight w:val="white"/>
              </w:rPr>
              <w:t xml:space="preserve">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є громадянином Російської Федерації / Республіки</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Білорусь / Ісламської Республіки Іран (крім того, що</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проживає на території України на законних підставах);</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юридичною особою, утвореною та зареєстрованою</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відповідно до законодавства Російської Федерації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Республіки Білорусь / Ісламської Республіки Іран;</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юридичною особою, утвореною та зареєстрованою</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відповідно до законодавства України, кінцевим</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бенефіціарним власником, членом або учасником</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(акціонером), що має частку в статутному капіталі 10 і</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більше відсотків (далі - активи), якої є Російська Федерація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 xml:space="preserve">Республіка Білорусь / Ісламська Республіка Іран, (крім того, що проживає на території України на законних </w:t>
            </w:r>
            <w:r w:rsidRPr="00A736C5">
              <w:rPr>
                <w:rFonts w:ascii="Times New Roman" w:eastAsia="Times New Roman" w:hAnsi="Times New Roman" w:cs="Times New Roman"/>
                <w:color w:val="00B050"/>
                <w:sz w:val="24"/>
                <w:szCs w:val="24"/>
                <w:highlight w:val="white"/>
              </w:rPr>
              <w:lastRenderedPageBreak/>
              <w:t>підставах), або юридичною особою, утвореною та зареєстрованою відповідно дозаконодавства Російської Федерації / Республіки Білорусь /Ісламської Республіки Іран, крім випадків, коли активи 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установленому законодавством порядку передані 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управління АРМА; або пропонує в тендерній пропозиції</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товари походженням з Російської Федерації / Республіки</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Білорусь / Ісламської Республіки Іран (за винятком товарів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походженням з Російської Федерації / Республіки Білорусь/Ісламської Республіки Іран, необхідних для ремонту та обслуговування товарів,придбаних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(Офіційний вісник України, 2022 р., № 84, ст. 5176);</w:t>
            </w:r>
          </w:p>
          <w:p w:rsidR="00FA6CB2" w:rsidRDefault="00FA6CB2">
            <w:pPr>
              <w:shd w:val="clear" w:color="auto" w:fill="FFFFFF"/>
              <w:ind w:firstLine="567"/>
              <w:jc w:val="both"/>
              <w:rPr>
                <w:rFonts w:ascii="Times New Roman" w:eastAsia="Times New Roman" w:hAnsi="Times New Roman" w:cs="Times New Roman"/>
                <w:color w:val="00B050"/>
                <w:sz w:val="24"/>
                <w:szCs w:val="24"/>
                <w:highlight w:val="white"/>
              </w:rPr>
            </w:pP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 xml:space="preserve">(подається </w:t>
      </w:r>
      <w:r w:rsidRPr="00AB1620">
        <w:rPr>
          <w:rFonts w:ascii="Times New Roman" w:eastAsia="Times New Roman" w:hAnsi="Times New Roman" w:cs="Times New Roman"/>
          <w:b/>
          <w:i/>
          <w:sz w:val="24"/>
          <w:szCs w:val="24"/>
          <w:u w:val="single"/>
          <w:lang w:eastAsia="ru-RU"/>
        </w:rPr>
        <w:t>Учасником</w:t>
      </w:r>
      <w:r w:rsidR="00AB1620" w:rsidRPr="00AB1620">
        <w:rPr>
          <w:rFonts w:ascii="Times New Roman" w:eastAsia="Times New Roman" w:hAnsi="Times New Roman" w:cs="Times New Roman"/>
          <w:b/>
          <w:i/>
          <w:sz w:val="24"/>
          <w:szCs w:val="24"/>
          <w:u w:val="single"/>
          <w:lang w:eastAsia="ru-RU"/>
        </w:rPr>
        <w:t>/Переможцем</w:t>
      </w:r>
      <w:r w:rsidRPr="00DE590E">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792145" w:rsidRDefault="00DE590E" w:rsidP="0079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napToGrid w:val="0"/>
          <w:color w:val="2F5496" w:themeColor="accent1" w:themeShade="BF"/>
          <w:sz w:val="20"/>
          <w:szCs w:val="20"/>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w:t>
      </w:r>
      <w:r w:rsidR="003B2641" w:rsidRPr="003B2641">
        <w:rPr>
          <w:rFonts w:ascii="Times New Roman" w:eastAsia="Times New Roman" w:hAnsi="Times New Roman" w:cs="Times New Roman"/>
          <w:b/>
          <w:bCs/>
          <w:i/>
          <w:iCs/>
          <w:sz w:val="24"/>
          <w:szCs w:val="24"/>
          <w:lang w:eastAsia="ru-RU"/>
        </w:rPr>
        <w:t xml:space="preserve"> Залізобетонні вироби (код ДК 021:2015 –44110000-4 Конструкційні матеріали)</w:t>
      </w:r>
      <w:r w:rsidR="00AB1620" w:rsidRPr="00BE71C6">
        <w:rPr>
          <w:rFonts w:ascii="Times New Roman" w:eastAsia="Times New Roman" w:hAnsi="Times New Roman" w:cs="Times New Roman"/>
          <w:b/>
          <w:i/>
          <w:sz w:val="24"/>
          <w:szCs w:val="24"/>
          <w:lang w:eastAsia="ru-RU"/>
        </w:rPr>
        <w:t>,</w:t>
      </w:r>
      <w:r w:rsidRPr="00C45BEB">
        <w:rPr>
          <w:rFonts w:ascii="Times New Roman" w:eastAsia="Times New Roman" w:hAnsi="Times New Roman" w:cs="Times New Roman"/>
          <w:color w:val="2F5496" w:themeColor="accent1" w:themeShade="BF"/>
          <w:sz w:val="24"/>
          <w:szCs w:val="24"/>
          <w:lang w:eastAsia="ru-RU"/>
        </w:rPr>
        <w:t xml:space="preserve"> </w:t>
      </w:r>
      <w:r w:rsidRPr="00DE590E">
        <w:rPr>
          <w:rFonts w:ascii="Times New Roman" w:eastAsia="Times New Roman" w:hAnsi="Times New Roman" w:cs="Times New Roman"/>
          <w:sz w:val="24"/>
          <w:szCs w:val="24"/>
          <w:lang w:eastAsia="ru-RU"/>
        </w:rPr>
        <w:t>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lastRenderedPageBreak/>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w:t>
      </w:r>
      <w:r w:rsidR="00EC21BF">
        <w:rPr>
          <w:rFonts w:ascii="Times New Roman" w:eastAsia="Times New Roman" w:hAnsi="Times New Roman" w:cs="Times New Roman"/>
          <w:sz w:val="24"/>
          <w:szCs w:val="24"/>
          <w:lang w:val="ru-RU" w:eastAsia="ru-RU"/>
        </w:rPr>
        <w:t>нків: з відстрочкою платежу до 9</w:t>
      </w:r>
      <w:r w:rsidRPr="00DE590E">
        <w:rPr>
          <w:rFonts w:ascii="Times New Roman" w:eastAsia="Times New Roman" w:hAnsi="Times New Roman" w:cs="Times New Roman"/>
          <w:sz w:val="24"/>
          <w:szCs w:val="24"/>
          <w:lang w:val="ru-RU" w:eastAsia="ru-RU"/>
        </w:rPr>
        <w:t>0</w:t>
      </w:r>
      <w:r w:rsidRPr="00DE590E">
        <w:rPr>
          <w:rFonts w:ascii="Times New Roman" w:eastAsia="Times New Roman CYR" w:hAnsi="Times New Roman" w:cs="Times New Roman"/>
          <w:sz w:val="24"/>
          <w:szCs w:val="24"/>
          <w:lang w:val="ru-RU" w:eastAsia="ru-RU"/>
        </w:rPr>
        <w:t xml:space="preserve">  </w:t>
      </w:r>
      <w:r w:rsidR="00EC21BF">
        <w:rPr>
          <w:rFonts w:ascii="Times New Roman" w:eastAsia="Times New Roman" w:hAnsi="Times New Roman" w:cs="Times New Roman"/>
          <w:sz w:val="24"/>
          <w:szCs w:val="24"/>
          <w:lang w:val="ru-RU" w:eastAsia="ru-RU"/>
        </w:rPr>
        <w:t>календарн</w:t>
      </w:r>
      <w:r w:rsidRPr="00DE590E">
        <w:rPr>
          <w:rFonts w:ascii="Times New Roman" w:eastAsia="Times New Roman" w:hAnsi="Times New Roman" w:cs="Times New Roman"/>
          <w:sz w:val="24"/>
          <w:szCs w:val="24"/>
          <w:lang w:val="ru-RU" w:eastAsia="ru-RU"/>
        </w:rPr>
        <w:t>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BE71C6" w:rsidRDefault="003B2641" w:rsidP="00DE590E">
      <w:pPr>
        <w:spacing w:after="0" w:line="360" w:lineRule="auto"/>
        <w:jc w:val="center"/>
        <w:rPr>
          <w:rFonts w:ascii="Times New Roman" w:eastAsia="Times New Roman" w:hAnsi="Times New Roman" w:cs="Times New Roman"/>
          <w:bCs/>
          <w:sz w:val="24"/>
          <w:szCs w:val="24"/>
          <w:lang w:val="ru-RU"/>
        </w:rPr>
      </w:pPr>
      <w:r w:rsidRPr="003B2641">
        <w:rPr>
          <w:rFonts w:ascii="Times New Roman" w:eastAsia="Times New Roman" w:hAnsi="Times New Roman" w:cs="Times New Roman"/>
          <w:b/>
          <w:bCs/>
          <w:i/>
          <w:iCs/>
          <w:sz w:val="24"/>
          <w:szCs w:val="24"/>
        </w:rPr>
        <w:t>Залізобетонні вироби (код ДК 021:2015 –44110000-4 Конструкційні матеріали)</w:t>
      </w:r>
    </w:p>
    <w:p w:rsidR="00DE590E" w:rsidRDefault="00DE590E" w:rsidP="00DE590E">
      <w:pPr>
        <w:spacing w:after="0" w:line="360" w:lineRule="auto"/>
        <w:jc w:val="center"/>
        <w:rPr>
          <w:rFonts w:ascii="Times New Roman" w:eastAsia="Times New Roman" w:hAnsi="Times New Roman" w:cs="Times New Roman"/>
          <w:b/>
          <w:sz w:val="32"/>
          <w:szCs w:val="32"/>
        </w:rPr>
      </w:pPr>
      <w:r w:rsidRPr="00DE590E">
        <w:rPr>
          <w:rFonts w:ascii="Times New Roman" w:eastAsia="Times New Roman" w:hAnsi="Times New Roman" w:cs="Times New Roman"/>
          <w:b/>
          <w:sz w:val="32"/>
          <w:szCs w:val="32"/>
        </w:rPr>
        <w:t>Технічна специфікація</w:t>
      </w:r>
    </w:p>
    <w:p w:rsidR="00BE71C6" w:rsidRDefault="00BE71C6" w:rsidP="00BE71C6">
      <w:pPr>
        <w:widowControl w:val="0"/>
        <w:shd w:val="clear" w:color="auto" w:fill="FFFFFF"/>
        <w:autoSpaceDE w:val="0"/>
        <w:autoSpaceDN w:val="0"/>
        <w:adjustRightInd w:val="0"/>
        <w:spacing w:after="0" w:line="240" w:lineRule="auto"/>
        <w:ind w:right="43"/>
        <w:rPr>
          <w:rFonts w:ascii="Times New Roman" w:hAnsi="Times New Roman" w:cs="Times New Roman"/>
          <w:bCs/>
          <w:i/>
          <w:sz w:val="24"/>
          <w:szCs w:val="24"/>
        </w:rPr>
      </w:pPr>
      <w:r w:rsidRPr="00244AA3">
        <w:rPr>
          <w:rFonts w:ascii="Times New Roman" w:hAnsi="Times New Roman" w:cs="Times New Roman"/>
          <w:bCs/>
          <w:i/>
          <w:sz w:val="24"/>
          <w:szCs w:val="24"/>
        </w:rPr>
        <w:t>Вироби повинні  відповідати ДСТУ діючим в Україні та/або іншим нормативними документам які регулюють виробництво та випуск даної продукції .</w:t>
      </w:r>
    </w:p>
    <w:p w:rsidR="003B2641" w:rsidRPr="00244AA3" w:rsidRDefault="003B2641" w:rsidP="00BE71C6">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555"/>
        <w:gridCol w:w="1281"/>
        <w:gridCol w:w="2413"/>
      </w:tblGrid>
      <w:tr w:rsidR="003B2641" w:rsidRPr="00FC56ED" w:rsidTr="00845A34">
        <w:trPr>
          <w:trHeight w:val="776"/>
        </w:trPr>
        <w:tc>
          <w:tcPr>
            <w:tcW w:w="790" w:type="dxa"/>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 п/п</w:t>
            </w:r>
          </w:p>
        </w:tc>
        <w:tc>
          <w:tcPr>
            <w:tcW w:w="4555" w:type="dxa"/>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Найменування предмету закупівлі</w:t>
            </w:r>
          </w:p>
        </w:tc>
        <w:tc>
          <w:tcPr>
            <w:tcW w:w="1281" w:type="dxa"/>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Один. виміру</w:t>
            </w:r>
          </w:p>
        </w:tc>
        <w:tc>
          <w:tcPr>
            <w:tcW w:w="2413" w:type="dxa"/>
            <w:shd w:val="clear" w:color="auto" w:fill="auto"/>
            <w:vAlign w:val="center"/>
          </w:tcPr>
          <w:p w:rsidR="003B2641" w:rsidRPr="00FC56ED" w:rsidRDefault="003B2641" w:rsidP="00845A34">
            <w:pPr>
              <w:spacing w:before="100" w:beforeAutospacing="1" w:after="100" w:afterAutospacing="1" w:line="240" w:lineRule="auto"/>
              <w:ind w:right="43"/>
              <w:jc w:val="center"/>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Кільк-ть</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Зливоприймач ЗП-1 (ЛП – 1И)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20</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2</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Кільця опорні КО-6 (1)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100</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3</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Плита опорна ПО-10 (КЦО- 2-И)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15</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4</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Плити перекриття кілець</w:t>
            </w:r>
            <w:r w:rsidRPr="00FC56ED">
              <w:rPr>
                <w:rFonts w:ascii="Times New Roman" w:eastAsia="Times New Roman" w:hAnsi="Times New Roman" w:cs="Times New Roman"/>
                <w:bCs/>
                <w:iCs/>
                <w:sz w:val="20"/>
                <w:szCs w:val="20"/>
                <w:lang w:val="ru-RU" w:eastAsia="ru-RU"/>
              </w:rPr>
              <w:br/>
              <w:t>1 ПП 15-2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10</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5</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Плити перекриття кілець</w:t>
            </w:r>
            <w:r w:rsidRPr="00FC56ED">
              <w:rPr>
                <w:rFonts w:ascii="Times New Roman" w:eastAsia="Times New Roman" w:hAnsi="Times New Roman" w:cs="Times New Roman"/>
                <w:bCs/>
                <w:iCs/>
                <w:sz w:val="20"/>
                <w:szCs w:val="20"/>
                <w:lang w:val="ru-RU" w:eastAsia="ru-RU"/>
              </w:rPr>
              <w:br/>
              <w:t xml:space="preserve"> ПП 10-2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10</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6</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Плити перекриття кілець</w:t>
            </w:r>
            <w:r w:rsidRPr="00FC56ED">
              <w:rPr>
                <w:rFonts w:ascii="Times New Roman" w:eastAsia="Times New Roman" w:hAnsi="Times New Roman" w:cs="Times New Roman"/>
                <w:bCs/>
                <w:iCs/>
                <w:sz w:val="20"/>
                <w:szCs w:val="20"/>
                <w:lang w:val="ru-RU" w:eastAsia="ru-RU"/>
              </w:rPr>
              <w:br/>
              <w:t xml:space="preserve"> 1 ПП 20-2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5</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7</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 xml:space="preserve">Кільця КС 10.9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10</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8</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 xml:space="preserve">Кільця КС 15.9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10</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9</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 xml:space="preserve">Кільця КС 20.9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5</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10</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Борт 300.30.15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300</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11</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Борт 100.30.18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800</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12</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Борт 100.30.15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700</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13</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 xml:space="preserve">Борт 100.20.8 </w:t>
            </w:r>
          </w:p>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1000</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lastRenderedPageBreak/>
              <w:t>14</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 xml:space="preserve">Борт 300.30.18 </w:t>
            </w:r>
          </w:p>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200</w:t>
            </w:r>
          </w:p>
        </w:tc>
        <w:bookmarkStart w:id="6" w:name="_GoBack"/>
        <w:bookmarkEnd w:id="6"/>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15</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 xml:space="preserve">Борт 300.60.20 </w:t>
            </w:r>
          </w:p>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20</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16</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Плити тротуарні 100х100х8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50</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17</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Борт 300.45.18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50</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18</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Кільця опорні КО-6 (1/4)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100</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19</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Блок Б-5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100</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20</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ПН 10 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10</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21</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ПН 15 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10</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22</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ПН 20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lang w:val="ru-RU" w:eastAsia="ru-RU"/>
              </w:rPr>
            </w:pPr>
            <w:r w:rsidRPr="00FC56ED">
              <w:rPr>
                <w:rFonts w:ascii="Times New Roman" w:eastAsia="Times New Roman" w:hAnsi="Times New Roman" w:cs="Times New Roman"/>
                <w:bCs/>
                <w:iCs/>
                <w:lang w:val="ru-RU" w:eastAsia="ru-RU"/>
              </w:rPr>
              <w:t>шт</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sidRPr="00FC56ED">
              <w:rPr>
                <w:rFonts w:ascii="Times New Roman" w:eastAsia="Times New Roman" w:hAnsi="Times New Roman" w:cs="Times New Roman"/>
                <w:bCs/>
                <w:iCs/>
                <w:sz w:val="20"/>
                <w:szCs w:val="20"/>
                <w:lang w:val="ru-RU" w:eastAsia="ru-RU"/>
              </w:rPr>
              <w:t>5</w:t>
            </w:r>
          </w:p>
        </w:tc>
      </w:tr>
      <w:tr w:rsidR="003B2641" w:rsidRPr="00FC56ED" w:rsidTr="00845A34">
        <w:trPr>
          <w:trHeight w:val="359"/>
        </w:trPr>
        <w:tc>
          <w:tcPr>
            <w:tcW w:w="790" w:type="dxa"/>
            <w:tcBorders>
              <w:top w:val="single" w:sz="4" w:space="0" w:color="auto"/>
              <w:left w:val="single" w:sz="4" w:space="0" w:color="auto"/>
              <w:bottom w:val="single" w:sz="4" w:space="0" w:color="auto"/>
              <w:right w:val="single" w:sz="4" w:space="0" w:color="auto"/>
            </w:tcBorders>
            <w:shd w:val="clear" w:color="auto" w:fill="auto"/>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Pr>
                <w:rFonts w:ascii="Times New Roman" w:eastAsia="Times New Roman" w:hAnsi="Times New Roman" w:cs="Times New Roman"/>
                <w:bCs/>
                <w:iCs/>
                <w:sz w:val="20"/>
                <w:szCs w:val="20"/>
                <w:lang w:val="ru-RU" w:eastAsia="ru-RU"/>
              </w:rPr>
              <w:t>23</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3B2641"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en-US" w:eastAsia="ru-RU"/>
              </w:rPr>
            </w:pPr>
            <w:r>
              <w:rPr>
                <w:rFonts w:ascii="Times New Roman" w:eastAsia="Times New Roman" w:hAnsi="Times New Roman" w:cs="Times New Roman"/>
                <w:bCs/>
                <w:iCs/>
                <w:sz w:val="20"/>
                <w:szCs w:val="20"/>
                <w:lang w:val="ru-RU" w:eastAsia="ru-RU"/>
              </w:rPr>
              <w:t>БСГ В25 Р2</w:t>
            </w:r>
            <w:r>
              <w:rPr>
                <w:rFonts w:ascii="Times New Roman" w:eastAsia="Times New Roman" w:hAnsi="Times New Roman" w:cs="Times New Roman"/>
                <w:bCs/>
                <w:iCs/>
                <w:sz w:val="20"/>
                <w:szCs w:val="20"/>
                <w:lang w:val="en-US" w:eastAsia="ru-RU"/>
              </w:rPr>
              <w:t xml:space="preserve"> F200 W6</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3B2641" w:rsidRDefault="003B2641" w:rsidP="00845A34">
            <w:pPr>
              <w:spacing w:before="100" w:beforeAutospacing="1" w:after="100" w:afterAutospacing="1" w:line="240" w:lineRule="auto"/>
              <w:ind w:right="43"/>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м.куб</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2641" w:rsidRPr="00FC56ED" w:rsidRDefault="003B2641" w:rsidP="00845A34">
            <w:pPr>
              <w:spacing w:before="100" w:beforeAutospacing="1" w:after="100" w:afterAutospacing="1" w:line="240" w:lineRule="auto"/>
              <w:ind w:right="43"/>
              <w:rPr>
                <w:rFonts w:ascii="Times New Roman" w:eastAsia="Times New Roman" w:hAnsi="Times New Roman" w:cs="Times New Roman"/>
                <w:bCs/>
                <w:iCs/>
                <w:sz w:val="20"/>
                <w:szCs w:val="20"/>
                <w:lang w:val="ru-RU" w:eastAsia="ru-RU"/>
              </w:rPr>
            </w:pPr>
            <w:r>
              <w:rPr>
                <w:rFonts w:ascii="Times New Roman" w:eastAsia="Times New Roman" w:hAnsi="Times New Roman" w:cs="Times New Roman"/>
                <w:bCs/>
                <w:iCs/>
                <w:sz w:val="20"/>
                <w:szCs w:val="20"/>
                <w:lang w:val="ru-RU" w:eastAsia="ru-RU"/>
              </w:rPr>
              <w:t>10</w:t>
            </w:r>
          </w:p>
        </w:tc>
      </w:tr>
    </w:tbl>
    <w:p w:rsidR="003B2641" w:rsidRDefault="003B2641" w:rsidP="003B2641">
      <w:pPr>
        <w:spacing w:after="0" w:line="240" w:lineRule="auto"/>
        <w:ind w:left="-284"/>
        <w:jc w:val="center"/>
        <w:rPr>
          <w:rFonts w:ascii="Times New Roman" w:eastAsia="Times New Roman" w:hAnsi="Times New Roman" w:cs="Times New Roman"/>
          <w:b/>
          <w:color w:val="000000"/>
          <w:sz w:val="28"/>
          <w:szCs w:val="28"/>
        </w:rPr>
      </w:pPr>
    </w:p>
    <w:p w:rsidR="003B2641" w:rsidRPr="00EE247A" w:rsidRDefault="003B2641" w:rsidP="003B2641">
      <w:pPr>
        <w:spacing w:after="0" w:line="240" w:lineRule="auto"/>
        <w:ind w:left="-284"/>
        <w:jc w:val="center"/>
        <w:rPr>
          <w:rFonts w:ascii="Times New Roman" w:eastAsia="Times New Roman" w:hAnsi="Times New Roman" w:cs="Times New Roman"/>
          <w:b/>
          <w:sz w:val="28"/>
          <w:szCs w:val="28"/>
        </w:rPr>
      </w:pPr>
    </w:p>
    <w:p w:rsidR="003B2641" w:rsidRPr="00C26470" w:rsidRDefault="003B2641" w:rsidP="003B2641">
      <w:pPr>
        <w:spacing w:after="0" w:line="240" w:lineRule="auto"/>
        <w:rPr>
          <w:rFonts w:ascii="Times New Roman" w:eastAsia="Times New Roman" w:hAnsi="Times New Roman"/>
          <w:sz w:val="20"/>
          <w:szCs w:val="20"/>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1"/>
      </w:tblGrid>
      <w:tr w:rsidR="003B2641" w:rsidRPr="00240776" w:rsidTr="00845A34">
        <w:trPr>
          <w:trHeight w:val="1635"/>
        </w:trPr>
        <w:tc>
          <w:tcPr>
            <w:tcW w:w="10031" w:type="dxa"/>
            <w:tcBorders>
              <w:top w:val="single" w:sz="4" w:space="0" w:color="000000"/>
              <w:left w:val="single" w:sz="4" w:space="0" w:color="000000"/>
              <w:bottom w:val="single" w:sz="4" w:space="0" w:color="000000"/>
              <w:right w:val="single" w:sz="4" w:space="0" w:color="000000"/>
            </w:tcBorders>
            <w:hideMark/>
          </w:tcPr>
          <w:p w:rsidR="003B2641" w:rsidRPr="00240776" w:rsidRDefault="003B2641" w:rsidP="00845A34">
            <w:pPr>
              <w:widowControl w:val="0"/>
              <w:autoSpaceDE w:val="0"/>
              <w:autoSpaceDN w:val="0"/>
              <w:adjustRightInd w:val="0"/>
              <w:spacing w:line="0" w:lineRule="atLeast"/>
              <w:ind w:right="45"/>
              <w:contextualSpacing/>
              <w:rPr>
                <w:rFonts w:ascii="Times New Roman" w:eastAsia="Times New Roman" w:hAnsi="Times New Roman"/>
                <w:bCs/>
              </w:rPr>
            </w:pPr>
            <w:r w:rsidRPr="00240776">
              <w:rPr>
                <w:rFonts w:ascii="Times New Roman" w:eastAsia="Times New Roman" w:hAnsi="Times New Roman"/>
                <w:bCs/>
              </w:rPr>
              <w:t xml:space="preserve">1. Постачальник  починає відвантаження </w:t>
            </w:r>
            <w:r>
              <w:rPr>
                <w:rFonts w:ascii="Times New Roman" w:eastAsia="Times New Roman" w:hAnsi="Times New Roman"/>
                <w:bCs/>
              </w:rPr>
              <w:t xml:space="preserve"> збв та</w:t>
            </w:r>
            <w:r w:rsidRPr="00240776">
              <w:rPr>
                <w:rFonts w:ascii="Times New Roman" w:eastAsia="Times New Roman" w:hAnsi="Times New Roman"/>
                <w:bCs/>
              </w:rPr>
              <w:t xml:space="preserve">  бетону не пізніше  одного календарного дня з дня отримання письмової заявки від Замовника.</w:t>
            </w:r>
          </w:p>
          <w:p w:rsidR="003B2641" w:rsidRPr="0073503C" w:rsidRDefault="003B2641" w:rsidP="00845A34">
            <w:pPr>
              <w:widowControl w:val="0"/>
              <w:autoSpaceDE w:val="0"/>
              <w:autoSpaceDN w:val="0"/>
              <w:adjustRightInd w:val="0"/>
              <w:spacing w:line="0" w:lineRule="atLeast"/>
              <w:ind w:right="45"/>
              <w:contextualSpacing/>
              <w:rPr>
                <w:rFonts w:ascii="Times New Roman" w:eastAsia="Times New Roman" w:hAnsi="Times New Roman"/>
                <w:b/>
                <w:bCs/>
              </w:rPr>
            </w:pPr>
            <w:r w:rsidRPr="00240776">
              <w:rPr>
                <w:rFonts w:ascii="Times New Roman" w:eastAsia="Times New Roman" w:hAnsi="Times New Roman"/>
                <w:b/>
                <w:bCs/>
              </w:rPr>
              <w:t>Вказати адресу  бази (складу)  відвантаження в м. Києві</w:t>
            </w:r>
            <w:r w:rsidRPr="00240776">
              <w:rPr>
                <w:rFonts w:ascii="Times New Roman" w:eastAsia="Times New Roman" w:hAnsi="Times New Roman"/>
                <w:b/>
                <w:bCs/>
                <w:sz w:val="20"/>
                <w:szCs w:val="20"/>
              </w:rPr>
              <w:t xml:space="preserve"> (надати довідку)</w:t>
            </w:r>
          </w:p>
        </w:tc>
      </w:tr>
      <w:tr w:rsidR="003B2641" w:rsidRPr="00240776" w:rsidTr="00845A34">
        <w:trPr>
          <w:trHeight w:val="713"/>
        </w:trPr>
        <w:tc>
          <w:tcPr>
            <w:tcW w:w="10031" w:type="dxa"/>
            <w:tcBorders>
              <w:top w:val="single" w:sz="4" w:space="0" w:color="000000"/>
              <w:left w:val="single" w:sz="4" w:space="0" w:color="000000"/>
              <w:bottom w:val="single" w:sz="4" w:space="0" w:color="000000"/>
              <w:right w:val="single" w:sz="4" w:space="0" w:color="000000"/>
            </w:tcBorders>
            <w:hideMark/>
          </w:tcPr>
          <w:p w:rsidR="003B2641" w:rsidRPr="00240776" w:rsidRDefault="003B2641" w:rsidP="00845A34">
            <w:pPr>
              <w:spacing w:line="240" w:lineRule="auto"/>
              <w:ind w:right="43"/>
              <w:rPr>
                <w:rFonts w:ascii="Times New Roman" w:eastAsia="Times New Roman" w:hAnsi="Times New Roman"/>
              </w:rPr>
            </w:pPr>
            <w:r w:rsidRPr="00240776">
              <w:rPr>
                <w:rFonts w:ascii="Times New Roman CYR" w:eastAsia="Times New Roman" w:hAnsi="Times New Roman CYR" w:cs="Times New Roman CYR"/>
              </w:rPr>
              <w:t>2.</w:t>
            </w:r>
            <w:r w:rsidRPr="00240776">
              <w:rPr>
                <w:rFonts w:ascii="Times New Roman" w:eastAsia="Times New Roman" w:hAnsi="Times New Roman"/>
                <w:bCs/>
              </w:rPr>
              <w:t xml:space="preserve"> </w:t>
            </w:r>
            <w:r w:rsidRPr="00240776">
              <w:rPr>
                <w:rFonts w:ascii="Times New Roman" w:eastAsia="Times New Roman" w:hAnsi="Times New Roman"/>
              </w:rPr>
              <w:t>Постачальник приймає заявку від Замовника на поставку  т</w:t>
            </w:r>
            <w:r w:rsidRPr="00240776">
              <w:rPr>
                <w:rFonts w:ascii="Times New Roman" w:eastAsia="Times New Roman" w:hAnsi="Times New Roman"/>
                <w:sz w:val="20"/>
                <w:szCs w:val="20"/>
              </w:rPr>
              <w:t>овару щоденно  з 8-00 год. до 17</w:t>
            </w:r>
            <w:r w:rsidRPr="00240776">
              <w:rPr>
                <w:rFonts w:ascii="Times New Roman" w:eastAsia="Times New Roman" w:hAnsi="Times New Roman"/>
              </w:rPr>
              <w:t xml:space="preserve">-00 год. </w:t>
            </w:r>
          </w:p>
        </w:tc>
      </w:tr>
      <w:tr w:rsidR="003B2641" w:rsidRPr="00240776" w:rsidTr="00845A34">
        <w:trPr>
          <w:trHeight w:val="867"/>
        </w:trPr>
        <w:tc>
          <w:tcPr>
            <w:tcW w:w="10031" w:type="dxa"/>
            <w:tcBorders>
              <w:top w:val="single" w:sz="4" w:space="0" w:color="000000"/>
              <w:left w:val="single" w:sz="4" w:space="0" w:color="000000"/>
              <w:bottom w:val="single" w:sz="4" w:space="0" w:color="000000"/>
              <w:right w:val="single" w:sz="4" w:space="0" w:color="000000"/>
            </w:tcBorders>
            <w:hideMark/>
          </w:tcPr>
          <w:p w:rsidR="003B2641" w:rsidRPr="00240776" w:rsidRDefault="003B2641" w:rsidP="00845A34">
            <w:pPr>
              <w:widowControl w:val="0"/>
              <w:autoSpaceDE w:val="0"/>
              <w:autoSpaceDN w:val="0"/>
              <w:adjustRightInd w:val="0"/>
              <w:snapToGrid w:val="0"/>
              <w:spacing w:line="240" w:lineRule="atLeast"/>
              <w:ind w:right="45"/>
              <w:contextualSpacing/>
              <w:rPr>
                <w:rFonts w:ascii="Times New Roman" w:eastAsia="Times New Roman" w:hAnsi="Times New Roman"/>
                <w:bCs/>
              </w:rPr>
            </w:pPr>
            <w:r w:rsidRPr="00240776">
              <w:rPr>
                <w:rFonts w:ascii="Times New Roman" w:eastAsia="Times New Roman" w:hAnsi="Times New Roman"/>
                <w:bCs/>
              </w:rPr>
              <w:t>3</w:t>
            </w:r>
            <w:r>
              <w:rPr>
                <w:rFonts w:ascii="Times New Roman" w:eastAsia="Times New Roman" w:hAnsi="Times New Roman"/>
                <w:bCs/>
              </w:rPr>
              <w:t>. Постачальник відвантажує залізобетонні вироби</w:t>
            </w:r>
            <w:r w:rsidRPr="00240776">
              <w:rPr>
                <w:rFonts w:ascii="Times New Roman" w:eastAsia="Times New Roman" w:hAnsi="Times New Roman"/>
                <w:bCs/>
              </w:rPr>
              <w:t xml:space="preserve"> належної якості в кузов автомобіля  Замовника.</w:t>
            </w:r>
          </w:p>
          <w:p w:rsidR="003B2641" w:rsidRPr="00240776" w:rsidRDefault="003B2641" w:rsidP="00845A34">
            <w:pPr>
              <w:widowControl w:val="0"/>
              <w:autoSpaceDE w:val="0"/>
              <w:autoSpaceDN w:val="0"/>
              <w:adjustRightInd w:val="0"/>
              <w:snapToGrid w:val="0"/>
              <w:spacing w:line="240" w:lineRule="atLeast"/>
              <w:ind w:right="45"/>
              <w:contextualSpacing/>
              <w:rPr>
                <w:rFonts w:ascii="Times New Roman CYR" w:eastAsia="Times New Roman" w:hAnsi="Times New Roman CYR" w:cs="Times New Roman CYR"/>
              </w:rPr>
            </w:pPr>
          </w:p>
        </w:tc>
      </w:tr>
      <w:tr w:rsidR="003B2641" w:rsidRPr="00240776" w:rsidTr="00845A34">
        <w:trPr>
          <w:trHeight w:val="1519"/>
        </w:trPr>
        <w:tc>
          <w:tcPr>
            <w:tcW w:w="10031" w:type="dxa"/>
            <w:tcBorders>
              <w:top w:val="single" w:sz="4" w:space="0" w:color="000000"/>
              <w:left w:val="single" w:sz="4" w:space="0" w:color="000000"/>
              <w:bottom w:val="single" w:sz="4" w:space="0" w:color="000000"/>
              <w:right w:val="single" w:sz="4" w:space="0" w:color="000000"/>
            </w:tcBorders>
            <w:hideMark/>
          </w:tcPr>
          <w:p w:rsidR="003B2641" w:rsidRPr="00240776" w:rsidRDefault="003B2641" w:rsidP="00845A34">
            <w:pPr>
              <w:spacing w:line="240" w:lineRule="auto"/>
              <w:ind w:right="43"/>
              <w:rPr>
                <w:rFonts w:ascii="Times New Roman" w:eastAsia="Times New Roman" w:hAnsi="Times New Roman" w:cs="Times New Roman CYR"/>
                <w:color w:val="000000"/>
              </w:rPr>
            </w:pPr>
            <w:r w:rsidRPr="00240776">
              <w:rPr>
                <w:rFonts w:ascii="Times New Roman CYR" w:eastAsia="Arial Unicode MS" w:hAnsi="Times New Roman CYR" w:cs="Times New Roman CYR"/>
                <w:lang w:eastAsia="hi-IN" w:bidi="hi-IN"/>
              </w:rPr>
              <w:t>4.</w:t>
            </w:r>
            <w:r w:rsidRPr="00240776">
              <w:rPr>
                <w:rFonts w:ascii="Times New Roman" w:eastAsia="Times New Roman" w:hAnsi="Times New Roman"/>
                <w:bCs/>
              </w:rPr>
              <w:t xml:space="preserve"> Сума тендерної пропозиції  повинна бути складена з урахуванням усіх витрат, податків і зборів, що сплачуються або мають бути сплачені, вартості матеріалів та інших витрат. До розрахунку ціни ходять усі види послуг, у тому числі і ті, які доручаються для виконання субпідрядникам. Не врахована Учасниками вартість окремих послуг не сплачується Замовником окремо, а витрати на їх виконання вважаються врахованими у загальній ціні його пропозиції, передбачених у кошторисній документації.</w:t>
            </w:r>
          </w:p>
        </w:tc>
      </w:tr>
      <w:tr w:rsidR="003B2641" w:rsidRPr="00240776" w:rsidTr="00845A34">
        <w:trPr>
          <w:trHeight w:val="713"/>
        </w:trPr>
        <w:tc>
          <w:tcPr>
            <w:tcW w:w="10031" w:type="dxa"/>
            <w:tcBorders>
              <w:top w:val="single" w:sz="4" w:space="0" w:color="000000"/>
              <w:left w:val="single" w:sz="4" w:space="0" w:color="000000"/>
              <w:bottom w:val="single" w:sz="4" w:space="0" w:color="000000"/>
              <w:right w:val="single" w:sz="4" w:space="0" w:color="000000"/>
            </w:tcBorders>
            <w:hideMark/>
          </w:tcPr>
          <w:p w:rsidR="003B2641" w:rsidRPr="00240776" w:rsidRDefault="003B2641" w:rsidP="00845A34">
            <w:pPr>
              <w:spacing w:line="240" w:lineRule="auto"/>
              <w:ind w:right="43"/>
              <w:rPr>
                <w:rFonts w:ascii="Times New Roman" w:eastAsia="Times New Roman" w:hAnsi="Times New Roman"/>
                <w:color w:val="000000"/>
              </w:rPr>
            </w:pPr>
            <w:r w:rsidRPr="00240776">
              <w:rPr>
                <w:rFonts w:ascii="Times New Roman" w:eastAsia="Times New Roman" w:hAnsi="Times New Roman"/>
                <w:color w:val="000000"/>
              </w:rPr>
              <w:t xml:space="preserve">5. Копії сертифікатів </w:t>
            </w:r>
            <w:r w:rsidRPr="00240776">
              <w:rPr>
                <w:rFonts w:ascii="Times New Roman" w:eastAsia="Times New Roman" w:hAnsi="Times New Roman"/>
              </w:rPr>
              <w:t>якості  та/або паспортів якості (або якісних</w:t>
            </w:r>
            <w:r w:rsidRPr="00240776">
              <w:rPr>
                <w:rFonts w:ascii="Times New Roman" w:eastAsia="Times New Roman" w:hAnsi="Times New Roman"/>
                <w:color w:val="000000"/>
              </w:rPr>
              <w:t xml:space="preserve"> посвідчень/декларацій виробника/паспортів якості) на запропонований Товар </w:t>
            </w:r>
            <w:r w:rsidRPr="00240776">
              <w:rPr>
                <w:rFonts w:ascii="Times New Roman" w:eastAsia="Times New Roman" w:hAnsi="Times New Roman"/>
              </w:rPr>
              <w:t>(</w:t>
            </w:r>
            <w:r>
              <w:rPr>
                <w:rFonts w:ascii="Times New Roman" w:eastAsia="Times New Roman" w:hAnsi="Times New Roman"/>
              </w:rPr>
              <w:t xml:space="preserve">надати </w:t>
            </w:r>
            <w:r w:rsidRPr="00240776">
              <w:rPr>
                <w:rFonts w:ascii="Times New Roman" w:eastAsia="Times New Roman" w:hAnsi="Times New Roman"/>
                <w:sz w:val="20"/>
                <w:szCs w:val="20"/>
              </w:rPr>
              <w:t>при кожній поставці товару</w:t>
            </w:r>
            <w:r>
              <w:rPr>
                <w:rFonts w:ascii="Times New Roman" w:eastAsia="Times New Roman" w:hAnsi="Times New Roman"/>
                <w:sz w:val="20"/>
                <w:szCs w:val="20"/>
              </w:rPr>
              <w:t xml:space="preserve"> та у складі тендерної пропозиції</w:t>
            </w:r>
            <w:r w:rsidRPr="00240776">
              <w:rPr>
                <w:rFonts w:ascii="Times New Roman" w:eastAsia="Times New Roman" w:hAnsi="Times New Roman"/>
              </w:rPr>
              <w:t>)</w:t>
            </w:r>
          </w:p>
        </w:tc>
      </w:tr>
      <w:tr w:rsidR="003B2641" w:rsidRPr="00240776" w:rsidTr="00845A34">
        <w:trPr>
          <w:trHeight w:val="678"/>
        </w:trPr>
        <w:tc>
          <w:tcPr>
            <w:tcW w:w="10031" w:type="dxa"/>
            <w:tcBorders>
              <w:top w:val="single" w:sz="4" w:space="0" w:color="000000"/>
              <w:left w:val="single" w:sz="4" w:space="0" w:color="000000"/>
              <w:bottom w:val="single" w:sz="4" w:space="0" w:color="000000"/>
              <w:right w:val="single" w:sz="4" w:space="0" w:color="000000"/>
            </w:tcBorders>
            <w:hideMark/>
          </w:tcPr>
          <w:p w:rsidR="003B2641" w:rsidRPr="00240776" w:rsidRDefault="003B2641" w:rsidP="00845A34">
            <w:pPr>
              <w:spacing w:line="240" w:lineRule="auto"/>
              <w:ind w:right="43"/>
              <w:rPr>
                <w:rFonts w:ascii="Times New Roman" w:eastAsia="Times New Roman" w:hAnsi="Times New Roman"/>
                <w:sz w:val="20"/>
                <w:szCs w:val="20"/>
              </w:rPr>
            </w:pPr>
            <w:r w:rsidRPr="00240776">
              <w:rPr>
                <w:rFonts w:ascii="Times New Roman" w:eastAsia="Times New Roman" w:hAnsi="Times New Roman"/>
              </w:rPr>
              <w:t>6.</w:t>
            </w:r>
            <w:r w:rsidRPr="00240776">
              <w:rPr>
                <w:rFonts w:ascii="Times New Roman" w:eastAsia="Times New Roman" w:hAnsi="Times New Roman"/>
                <w:bCs/>
              </w:rPr>
              <w:t xml:space="preserve"> Товар повинен  відповідати ДСТУ діючим в Україні та/або іншим нормативними документам які регулюють виробництво та випуск даної продукції.</w:t>
            </w:r>
          </w:p>
        </w:tc>
      </w:tr>
    </w:tbl>
    <w:p w:rsidR="00802C51" w:rsidRPr="009B4C1A" w:rsidRDefault="00802C51" w:rsidP="009B4C1A">
      <w:pPr>
        <w:spacing w:after="0" w:line="360" w:lineRule="auto"/>
        <w:jc w:val="center"/>
        <w:rPr>
          <w:rFonts w:ascii="Times New Roman" w:eastAsia="Times New Roman" w:hAnsi="Times New Roman" w:cs="Times New Roman"/>
          <w:bCs/>
          <w:sz w:val="24"/>
          <w:szCs w:val="24"/>
        </w:rPr>
      </w:pPr>
    </w:p>
    <w:p w:rsidR="00E63B7E" w:rsidRDefault="00E63B7E" w:rsidP="00E63B7E">
      <w:pPr>
        <w:widowControl w:val="0"/>
        <w:spacing w:after="0" w:line="240" w:lineRule="auto"/>
        <w:jc w:val="both"/>
        <w:rPr>
          <w:rFonts w:ascii="Times New Roman" w:eastAsia="Times New Roman" w:hAnsi="Times New Roman" w:cs="Times New Roman"/>
          <w:sz w:val="24"/>
          <w:szCs w:val="24"/>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w:t>
      </w:r>
      <w:r w:rsidRPr="00DE590E">
        <w:rPr>
          <w:rFonts w:ascii="Times New Roman" w:eastAsia="Times New Roman" w:hAnsi="Times New Roman" w:cs="Times New Roman"/>
          <w:i/>
          <w:color w:val="000000"/>
          <w:sz w:val="24"/>
          <w:szCs w:val="24"/>
          <w:lang w:eastAsia="ru-RU"/>
        </w:rPr>
        <w:lastRenderedPageBreak/>
        <w:t>національними стандартами, нормами та правилами.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 xml:space="preserve">У разі укладення Договору </w:t>
      </w:r>
      <w:r w:rsidR="00792145">
        <w:rPr>
          <w:rFonts w:ascii="Times New Roman" w:hAnsi="Times New Roman" w:cs="Times New Roman"/>
          <w:b/>
          <w:i/>
          <w:sz w:val="24"/>
          <w:szCs w:val="24"/>
          <w:lang w:eastAsia="en-US"/>
        </w:rPr>
        <w:t>із Замовником про постачання товару</w:t>
      </w:r>
      <w:r w:rsidRPr="007C7E8B">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BE753C">
      <w:pPr>
        <w:spacing w:after="0" w:line="240" w:lineRule="auto"/>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0658C5" w:rsidRPr="00B754A6" w:rsidRDefault="000658C5" w:rsidP="000658C5">
      <w:pPr>
        <w:shd w:val="clear" w:color="auto" w:fill="FFFFFF"/>
        <w:spacing w:before="280" w:after="280" w:line="240" w:lineRule="auto"/>
        <w:jc w:val="both"/>
        <w:rPr>
          <w:rFonts w:ascii="Times New Roman" w:eastAsia="Times New Roman" w:hAnsi="Times New Roman" w:cs="Times New Roman"/>
          <w:b/>
          <w:i/>
          <w:color w:val="A8D08D"/>
          <w:sz w:val="24"/>
          <w:szCs w:val="24"/>
          <w:u w:val="single"/>
        </w:rPr>
      </w:pPr>
      <w:r>
        <w:rPr>
          <w:rFonts w:ascii="Times New Roman" w:eastAsia="Times New Roman" w:hAnsi="Times New Roman" w:cs="Times New Roman"/>
          <w:i/>
          <w:color w:val="00B050"/>
          <w:sz w:val="24"/>
          <w:szCs w:val="24"/>
        </w:rPr>
        <w:lastRenderedPageBreak/>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754A6">
        <w:rPr>
          <w:rFonts w:ascii="Times New Roman" w:eastAsia="Times New Roman" w:hAnsi="Times New Roman" w:cs="Times New Roman"/>
          <w:b/>
          <w:i/>
          <w:color w:val="00B050"/>
          <w:sz w:val="24"/>
          <w:szCs w:val="24"/>
          <w:u w:val="single"/>
        </w:rPr>
        <w:t>від 25.02.2023 відповідно до постанови  від 9 лютого 2024 р. №131.</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p w:rsidR="00B96E3E" w:rsidRDefault="00B96E3E" w:rsidP="00DE590E">
      <w:pPr>
        <w:spacing w:after="0" w:line="240" w:lineRule="auto"/>
        <w:ind w:left="885"/>
        <w:jc w:val="center"/>
        <w:rPr>
          <w:rFonts w:ascii="Times New Roman" w:eastAsia="Times New Roman" w:hAnsi="Times New Roman" w:cs="Times New Roman"/>
          <w:b/>
          <w:i/>
          <w:color w:val="4A86E8"/>
          <w:sz w:val="20"/>
          <w:szCs w:val="20"/>
          <w:lang w:val="ru-RU"/>
        </w:rPr>
      </w:pPr>
    </w:p>
    <w:tbl>
      <w:tblPr>
        <w:tblW w:w="9882" w:type="dxa"/>
        <w:jc w:val="center"/>
        <w:tblLayout w:type="fixed"/>
        <w:tblLook w:val="0400" w:firstRow="0" w:lastRow="0" w:firstColumn="0" w:lastColumn="0" w:noHBand="0" w:noVBand="1"/>
      </w:tblPr>
      <w:tblGrid>
        <w:gridCol w:w="406"/>
        <w:gridCol w:w="2432"/>
        <w:gridCol w:w="7044"/>
      </w:tblGrid>
      <w:tr w:rsidR="00BE66B0" w:rsidRPr="00BE66B0" w:rsidTr="00BE66B0">
        <w:trPr>
          <w:trHeight w:val="877"/>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BE66B0">
              <w:rPr>
                <w:rFonts w:ascii="Times New Roman" w:eastAsia="Times New Roman" w:hAnsi="Times New Roman" w:cs="Times New Roman"/>
                <w:b/>
                <w:color w:val="4A86E8"/>
                <w:sz w:val="20"/>
                <w:szCs w:val="20"/>
              </w:rPr>
              <w:t>№ з/п</w:t>
            </w: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rPr>
                <w:rFonts w:ascii="Times New Roman" w:eastAsia="Times New Roman" w:hAnsi="Times New Roman" w:cs="Times New Roman"/>
                <w:color w:val="4A86E8"/>
                <w:sz w:val="20"/>
                <w:szCs w:val="20"/>
              </w:rPr>
            </w:pPr>
            <w:r w:rsidRPr="00CB3035">
              <w:rPr>
                <w:rFonts w:ascii="Times New Roman" w:eastAsia="Times New Roman" w:hAnsi="Times New Roman" w:cs="Times New Roman"/>
                <w:b/>
                <w:sz w:val="20"/>
                <w:szCs w:val="20"/>
              </w:rPr>
              <w:t>Кваліфікаційні критерії</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CB3035">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E66B0" w:rsidRPr="00BE66B0" w:rsidTr="00BE66B0">
        <w:trPr>
          <w:trHeight w:val="546"/>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1</w:t>
            </w: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CB3035">
            <w:pPr>
              <w:spacing w:after="0" w:line="240" w:lineRule="auto"/>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BE66B0">
              <w:rPr>
                <w:rFonts w:ascii="Times New Roman" w:eastAsia="Times New Roman" w:hAnsi="Times New Roman" w:cs="Times New Roman"/>
                <w:color w:val="4A86E8"/>
                <w:sz w:val="20"/>
                <w:szCs w:val="20"/>
              </w:rPr>
              <w:t xml:space="preserve">Відповідає, якщо учасником надано у складі тендерної пропозиції копія аналогічного договору.  </w:t>
            </w:r>
          </w:p>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BE66B0">
              <w:rPr>
                <w:rFonts w:ascii="Times New Roman" w:eastAsia="Times New Roman" w:hAnsi="Times New Roman" w:cs="Times New Roman"/>
                <w:color w:val="4A86E8"/>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виконання договору) або  лист- відгук від контрагента, з  підтвердженням виконання договірних забов`язань в повному обсязі.</w:t>
            </w:r>
          </w:p>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p>
        </w:tc>
      </w:tr>
    </w:tbl>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Pr="00DE590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8E1235" w:rsidRDefault="008E1235" w:rsidP="00DE590E">
      <w:pPr>
        <w:spacing w:before="240" w:after="0" w:line="240" w:lineRule="auto"/>
        <w:ind w:firstLine="720"/>
        <w:jc w:val="both"/>
        <w:rPr>
          <w:rFonts w:ascii="Times New Roman" w:eastAsia="Times New Roman" w:hAnsi="Times New Roman" w:cs="Times New Roman"/>
          <w:i/>
          <w:color w:val="000000"/>
          <w:sz w:val="20"/>
          <w:szCs w:val="20"/>
        </w:rPr>
      </w:pPr>
    </w:p>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 xml:space="preserve">Особливостей. Учасник </w:t>
      </w:r>
      <w:r w:rsidRPr="00DE590E">
        <w:rPr>
          <w:rFonts w:ascii="Times New Roman" w:eastAsia="Times New Roman" w:hAnsi="Times New Roman" w:cs="Times New Roman"/>
          <w:sz w:val="20"/>
          <w:szCs w:val="20"/>
          <w:lang w:val="ru-RU"/>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lastRenderedPageBreak/>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F4" w:rsidRDefault="008F7DF4">
      <w:pPr>
        <w:spacing w:after="0" w:line="240" w:lineRule="auto"/>
      </w:pPr>
      <w:r>
        <w:separator/>
      </w:r>
    </w:p>
  </w:endnote>
  <w:endnote w:type="continuationSeparator" w:id="0">
    <w:p w:rsidR="008F7DF4" w:rsidRDefault="008F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B0" w:rsidRDefault="00BE66B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B2641">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B0" w:rsidRDefault="00BE66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F4" w:rsidRDefault="008F7DF4">
      <w:pPr>
        <w:spacing w:after="0" w:line="240" w:lineRule="auto"/>
      </w:pPr>
      <w:r>
        <w:separator/>
      </w:r>
    </w:p>
  </w:footnote>
  <w:footnote w:type="continuationSeparator" w:id="0">
    <w:p w:rsidR="008F7DF4" w:rsidRDefault="008F7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B0" w:rsidRDefault="00BE66B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E941D0"/>
    <w:multiLevelType w:val="hybridMultilevel"/>
    <w:tmpl w:val="027CC130"/>
    <w:lvl w:ilvl="0" w:tplc="04220001">
      <w:start w:val="1"/>
      <w:numFmt w:val="bullet"/>
      <w:lvlText w:val=""/>
      <w:lvlJc w:val="left"/>
      <w:pPr>
        <w:ind w:left="177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8"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721869"/>
    <w:multiLevelType w:val="hybridMultilevel"/>
    <w:tmpl w:val="35CC4A5C"/>
    <w:lvl w:ilvl="0" w:tplc="79F87F90">
      <w:start w:val="2"/>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0" w15:restartNumberingAfterBreak="0">
    <w:nsid w:val="2F9241CC"/>
    <w:multiLevelType w:val="hybridMultilevel"/>
    <w:tmpl w:val="A4EC5D5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2"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510318D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8"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6"/>
  </w:num>
  <w:num w:numId="4">
    <w:abstractNumId w:val="23"/>
  </w:num>
  <w:num w:numId="5">
    <w:abstractNumId w:val="13"/>
  </w:num>
  <w:num w:numId="6">
    <w:abstractNumId w:val="21"/>
  </w:num>
  <w:num w:numId="7">
    <w:abstractNumId w:val="14"/>
  </w:num>
  <w:num w:numId="8">
    <w:abstractNumId w:val="12"/>
  </w:num>
  <w:num w:numId="9">
    <w:abstractNumId w:val="15"/>
  </w:num>
  <w:num w:numId="10">
    <w:abstractNumId w:val="4"/>
  </w:num>
  <w:num w:numId="11">
    <w:abstractNumId w:val="20"/>
  </w:num>
  <w:num w:numId="12">
    <w:abstractNumId w:val="8"/>
  </w:num>
  <w:num w:numId="13">
    <w:abstractNumId w:val="5"/>
  </w:num>
  <w:num w:numId="14">
    <w:abstractNumId w:val="6"/>
  </w:num>
  <w:num w:numId="15">
    <w:abstractNumId w:val="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 w:numId="21">
    <w:abstractNumId w:val="17"/>
  </w:num>
  <w:num w:numId="22">
    <w:abstractNumId w:val="2"/>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050BA"/>
    <w:rsid w:val="00017B0C"/>
    <w:rsid w:val="00041876"/>
    <w:rsid w:val="000658C5"/>
    <w:rsid w:val="000738EF"/>
    <w:rsid w:val="000D1B74"/>
    <w:rsid w:val="000D7464"/>
    <w:rsid w:val="000E1EF6"/>
    <w:rsid w:val="000E6C9E"/>
    <w:rsid w:val="000F0060"/>
    <w:rsid w:val="00103ED3"/>
    <w:rsid w:val="00145F65"/>
    <w:rsid w:val="0016302E"/>
    <w:rsid w:val="001745AA"/>
    <w:rsid w:val="00176FB5"/>
    <w:rsid w:val="002010EF"/>
    <w:rsid w:val="002221FC"/>
    <w:rsid w:val="00236194"/>
    <w:rsid w:val="00244558"/>
    <w:rsid w:val="00280A25"/>
    <w:rsid w:val="002A112F"/>
    <w:rsid w:val="002B3B0C"/>
    <w:rsid w:val="003179ED"/>
    <w:rsid w:val="00341F6C"/>
    <w:rsid w:val="00377B15"/>
    <w:rsid w:val="003839FB"/>
    <w:rsid w:val="003B2641"/>
    <w:rsid w:val="003D01E3"/>
    <w:rsid w:val="003F51B4"/>
    <w:rsid w:val="00401256"/>
    <w:rsid w:val="00465C69"/>
    <w:rsid w:val="00467814"/>
    <w:rsid w:val="00475954"/>
    <w:rsid w:val="00482B2F"/>
    <w:rsid w:val="00486CDA"/>
    <w:rsid w:val="004A2347"/>
    <w:rsid w:val="004B185F"/>
    <w:rsid w:val="004B7F19"/>
    <w:rsid w:val="005412C4"/>
    <w:rsid w:val="005415CA"/>
    <w:rsid w:val="0054327D"/>
    <w:rsid w:val="00544749"/>
    <w:rsid w:val="005450E3"/>
    <w:rsid w:val="005544B2"/>
    <w:rsid w:val="005623A2"/>
    <w:rsid w:val="005A1FD1"/>
    <w:rsid w:val="005D78D3"/>
    <w:rsid w:val="005D7A84"/>
    <w:rsid w:val="00605B48"/>
    <w:rsid w:val="0060755B"/>
    <w:rsid w:val="00625EF7"/>
    <w:rsid w:val="00634E4A"/>
    <w:rsid w:val="006A4062"/>
    <w:rsid w:val="006A64C7"/>
    <w:rsid w:val="006B379C"/>
    <w:rsid w:val="007034F6"/>
    <w:rsid w:val="007225F6"/>
    <w:rsid w:val="007344FD"/>
    <w:rsid w:val="00743692"/>
    <w:rsid w:val="00770CBA"/>
    <w:rsid w:val="00786E41"/>
    <w:rsid w:val="00792145"/>
    <w:rsid w:val="007A411B"/>
    <w:rsid w:val="007A5ABA"/>
    <w:rsid w:val="007F09D7"/>
    <w:rsid w:val="00802C51"/>
    <w:rsid w:val="00820681"/>
    <w:rsid w:val="0083014A"/>
    <w:rsid w:val="00833D7F"/>
    <w:rsid w:val="008352E0"/>
    <w:rsid w:val="00837B2E"/>
    <w:rsid w:val="00840F27"/>
    <w:rsid w:val="00842552"/>
    <w:rsid w:val="00844E1D"/>
    <w:rsid w:val="008469D8"/>
    <w:rsid w:val="00847159"/>
    <w:rsid w:val="00866BFB"/>
    <w:rsid w:val="008E1235"/>
    <w:rsid w:val="008E26D7"/>
    <w:rsid w:val="008F215C"/>
    <w:rsid w:val="008F7DF4"/>
    <w:rsid w:val="00906BB1"/>
    <w:rsid w:val="00932444"/>
    <w:rsid w:val="00941D96"/>
    <w:rsid w:val="00966B23"/>
    <w:rsid w:val="00986D89"/>
    <w:rsid w:val="0099347A"/>
    <w:rsid w:val="009A3516"/>
    <w:rsid w:val="009A3988"/>
    <w:rsid w:val="009A5C6C"/>
    <w:rsid w:val="009B4C1A"/>
    <w:rsid w:val="00A02690"/>
    <w:rsid w:val="00A13C77"/>
    <w:rsid w:val="00A17503"/>
    <w:rsid w:val="00A3072B"/>
    <w:rsid w:val="00A3289E"/>
    <w:rsid w:val="00A3780A"/>
    <w:rsid w:val="00A4163A"/>
    <w:rsid w:val="00A736C5"/>
    <w:rsid w:val="00A90062"/>
    <w:rsid w:val="00AA7045"/>
    <w:rsid w:val="00AB155C"/>
    <w:rsid w:val="00AB1620"/>
    <w:rsid w:val="00AB5138"/>
    <w:rsid w:val="00AC3057"/>
    <w:rsid w:val="00AD6A4C"/>
    <w:rsid w:val="00AE009C"/>
    <w:rsid w:val="00AF0636"/>
    <w:rsid w:val="00B4460F"/>
    <w:rsid w:val="00B44721"/>
    <w:rsid w:val="00B55F26"/>
    <w:rsid w:val="00B96E3E"/>
    <w:rsid w:val="00BB61FD"/>
    <w:rsid w:val="00BC3FC8"/>
    <w:rsid w:val="00BD52F6"/>
    <w:rsid w:val="00BE66B0"/>
    <w:rsid w:val="00BE71C6"/>
    <w:rsid w:val="00BE753C"/>
    <w:rsid w:val="00C27106"/>
    <w:rsid w:val="00C45BEB"/>
    <w:rsid w:val="00C552CA"/>
    <w:rsid w:val="00C75D6D"/>
    <w:rsid w:val="00C9018E"/>
    <w:rsid w:val="00CA799D"/>
    <w:rsid w:val="00CB0C7A"/>
    <w:rsid w:val="00CB3035"/>
    <w:rsid w:val="00CD497E"/>
    <w:rsid w:val="00CF791C"/>
    <w:rsid w:val="00D05A0A"/>
    <w:rsid w:val="00D06E7E"/>
    <w:rsid w:val="00D427DC"/>
    <w:rsid w:val="00D4446F"/>
    <w:rsid w:val="00D513A7"/>
    <w:rsid w:val="00D56005"/>
    <w:rsid w:val="00D57EC5"/>
    <w:rsid w:val="00D62271"/>
    <w:rsid w:val="00D75224"/>
    <w:rsid w:val="00D87094"/>
    <w:rsid w:val="00D97CDD"/>
    <w:rsid w:val="00DA3580"/>
    <w:rsid w:val="00DD68DE"/>
    <w:rsid w:val="00DE186D"/>
    <w:rsid w:val="00DE590E"/>
    <w:rsid w:val="00DF0B47"/>
    <w:rsid w:val="00E000C3"/>
    <w:rsid w:val="00E31FE6"/>
    <w:rsid w:val="00E4583D"/>
    <w:rsid w:val="00E55DFB"/>
    <w:rsid w:val="00E63B7E"/>
    <w:rsid w:val="00E74AF3"/>
    <w:rsid w:val="00E77672"/>
    <w:rsid w:val="00E90C60"/>
    <w:rsid w:val="00EA2DC7"/>
    <w:rsid w:val="00EC21BF"/>
    <w:rsid w:val="00EC78BA"/>
    <w:rsid w:val="00EE7A08"/>
    <w:rsid w:val="00F16FE6"/>
    <w:rsid w:val="00F31137"/>
    <w:rsid w:val="00F5570C"/>
    <w:rsid w:val="00FA6CB2"/>
    <w:rsid w:val="00FB5DF5"/>
    <w:rsid w:val="00FC263D"/>
    <w:rsid w:val="00FC2A3E"/>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50BD"/>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3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 w:type="table" w:customStyle="1" w:styleId="11">
    <w:name w:val="Сітка таблиці1"/>
    <w:basedOn w:val="a1"/>
    <w:next w:val="a4"/>
    <w:uiPriority w:val="59"/>
    <w:rsid w:val="00EE7A08"/>
    <w:pPr>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0690">
      <w:bodyDiv w:val="1"/>
      <w:marLeft w:val="0"/>
      <w:marRight w:val="0"/>
      <w:marTop w:val="0"/>
      <w:marBottom w:val="0"/>
      <w:divBdr>
        <w:top w:val="none" w:sz="0" w:space="0" w:color="auto"/>
        <w:left w:val="none" w:sz="0" w:space="0" w:color="auto"/>
        <w:bottom w:val="none" w:sz="0" w:space="0" w:color="auto"/>
        <w:right w:val="none" w:sz="0" w:space="0" w:color="auto"/>
      </w:divBdr>
    </w:div>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927730722">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33</Pages>
  <Words>51447</Words>
  <Characters>29326</Characters>
  <Application>Microsoft Office Word</Application>
  <DocSecurity>0</DocSecurity>
  <Lines>244</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81</cp:revision>
  <dcterms:created xsi:type="dcterms:W3CDTF">2023-06-01T07:16:00Z</dcterms:created>
  <dcterms:modified xsi:type="dcterms:W3CDTF">2024-03-19T12:15:00Z</dcterms:modified>
</cp:coreProperties>
</file>