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E1" w:rsidRPr="00064E8A" w:rsidRDefault="00CB5DDB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E8A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1057" w:type="dxa"/>
        <w:tblInd w:w="-1281" w:type="dxa"/>
        <w:tblLayout w:type="fixed"/>
        <w:tblLook w:val="04A0"/>
      </w:tblPr>
      <w:tblGrid>
        <w:gridCol w:w="4820"/>
        <w:gridCol w:w="6237"/>
      </w:tblGrid>
      <w:tr w:rsidR="00B7139A" w:rsidRPr="00064E8A" w:rsidTr="002E3760">
        <w:tc>
          <w:tcPr>
            <w:tcW w:w="4820" w:type="dxa"/>
          </w:tcPr>
          <w:p w:rsidR="00361FA7" w:rsidRPr="00064E8A" w:rsidRDefault="00361FA7" w:rsidP="00361FA7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6237" w:type="dxa"/>
            <w:shd w:val="clear" w:color="auto" w:fill="auto"/>
          </w:tcPr>
          <w:p w:rsidR="00361FA7" w:rsidRPr="00064E8A" w:rsidRDefault="00361FA7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E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27776F" w:rsidRPr="00064E8A" w:rsidTr="002E10A5">
        <w:tc>
          <w:tcPr>
            <w:tcW w:w="11057" w:type="dxa"/>
            <w:gridSpan w:val="2"/>
          </w:tcPr>
          <w:p w:rsidR="0027776F" w:rsidRPr="00064E8A" w:rsidRDefault="0027776F" w:rsidP="0027776F">
            <w:pPr>
              <w:pStyle w:val="10"/>
              <w:widowControl w:val="0"/>
              <w:spacing w:line="240" w:lineRule="auto"/>
              <w:ind w:left="3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Оголошені </w:t>
            </w:r>
            <w:r w:rsidR="00FF68F4" w:rsidRPr="000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UA-2024-04-10-009565-a</w:t>
            </w:r>
            <w:r w:rsidRPr="000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розміщене на авторизованому електронному майданчику на веб-порталі Уповноваженого органу 1</w:t>
            </w:r>
            <w:r w:rsidR="00FF68F4" w:rsidRPr="000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68F4" w:rsidRPr="000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</w:t>
            </w:r>
            <w:r w:rsidRPr="000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E8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202</w:t>
            </w:r>
            <w:r w:rsidR="00FF68F4" w:rsidRPr="00064E8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064E8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року (</w:t>
            </w:r>
            <w:hyperlink r:id="rId5" w:history="1">
              <w:r w:rsidR="00FF68F4" w:rsidRPr="00064E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https://prozorro.gov.ua/tender/UA-2024-04-10-009565-a</w:t>
              </w:r>
            </w:hyperlink>
            <w:r w:rsidRPr="000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Замовником</w:t>
            </w:r>
            <w:r w:rsidR="00FF68F4" w:rsidRPr="000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Відділом освіти </w:t>
            </w:r>
            <w:proofErr w:type="spellStart"/>
            <w:r w:rsidR="00FF68F4" w:rsidRPr="000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Немішаївської</w:t>
            </w:r>
            <w:proofErr w:type="spellEnd"/>
            <w:r w:rsidR="00FF68F4" w:rsidRPr="000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FF68F4" w:rsidRPr="00064E8A" w:rsidTr="002E3760">
        <w:tc>
          <w:tcPr>
            <w:tcW w:w="4820" w:type="dxa"/>
          </w:tcPr>
          <w:p w:rsidR="00FF68F4" w:rsidRPr="00064E8A" w:rsidRDefault="00FF68F4" w:rsidP="0030532E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FF68F4" w:rsidRPr="00064E8A" w:rsidRDefault="00FF68F4" w:rsidP="0030532E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76F" w:rsidRPr="00064E8A" w:rsidTr="007E0729">
        <w:trPr>
          <w:trHeight w:val="105"/>
        </w:trPr>
        <w:tc>
          <w:tcPr>
            <w:tcW w:w="11057" w:type="dxa"/>
            <w:gridSpan w:val="2"/>
            <w:vAlign w:val="center"/>
          </w:tcPr>
          <w:p w:rsidR="0027776F" w:rsidRPr="005F68D7" w:rsidRDefault="0027776F" w:rsidP="0027776F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</w:t>
            </w:r>
          </w:p>
          <w:p w:rsidR="0030532E" w:rsidRPr="00064E8A" w:rsidRDefault="0030532E" w:rsidP="0027776F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8D7">
              <w:rPr>
                <w:rFonts w:ascii="Times New Roman" w:hAnsi="Times New Roman" w:cs="Times New Roman"/>
                <w:lang w:val="uk-UA"/>
              </w:rPr>
              <w:t xml:space="preserve">ч.2 розділу </w:t>
            </w:r>
            <w:r w:rsidRPr="005F68D7">
              <w:rPr>
                <w:rFonts w:ascii="Times New Roman" w:hAnsi="Times New Roman" w:cs="Times New Roman"/>
                <w:b/>
                <w:color w:val="000000"/>
              </w:rPr>
              <w:t>ОЦІНКА ТЕНДЕРНОЇ ПРОПОЗИЦІЇ</w:t>
            </w:r>
            <w:r w:rsidRPr="005F68D7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</w:tr>
      <w:tr w:rsidR="009921C8" w:rsidRPr="00064E8A" w:rsidTr="002E3760">
        <w:tc>
          <w:tcPr>
            <w:tcW w:w="4820" w:type="dxa"/>
          </w:tcPr>
          <w:p w:rsidR="004F4B9D" w:rsidRPr="004F4B9D" w:rsidRDefault="004F4B9D" w:rsidP="004F4B9D">
            <w:pPr>
              <w:pStyle w:val="a6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відповідають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 чинного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F4B9D" w:rsidRPr="004F4B9D" w:rsidRDefault="004F4B9D" w:rsidP="004F4B9D">
            <w:pPr>
              <w:pStyle w:val="a6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підтвердити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поведінки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затвердженою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Мінекономіки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Настанов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поведінки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потенційних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закупівлях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настанов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запровадження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поведінки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добросовісної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знаходитись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підприємства-учасника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контроль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поведінки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процедурах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:rsidR="004F4B9D" w:rsidRPr="004F4B9D" w:rsidRDefault="004F4B9D" w:rsidP="004F4B9D">
            <w:pPr>
              <w:pStyle w:val="a6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 Закону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забезпечують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розробку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необхідними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обґрунтованими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протидії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особи.</w:t>
            </w:r>
          </w:p>
          <w:p w:rsidR="004F4B9D" w:rsidRPr="004F4B9D" w:rsidRDefault="004F4B9D" w:rsidP="004F4B9D">
            <w:pPr>
              <w:pStyle w:val="a6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частиною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другою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 Закону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для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корупційних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ризиків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залучатися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незалежні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аудиту.</w:t>
            </w:r>
          </w:p>
          <w:p w:rsidR="004F4B9D" w:rsidRPr="004F4B9D" w:rsidRDefault="004F4B9D" w:rsidP="004F4B9D">
            <w:pPr>
              <w:pStyle w:val="a6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агентства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22.09.2017 № 734 «Про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надалі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734)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особа,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насамперед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долучитися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виконання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державного бюджету, повинна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систему менеджменту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протидії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націлені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допомагаючи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юридичним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особам не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знизити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втрати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причетності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неправомірної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вигоди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корупційних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сприяють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</w:t>
            </w:r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відносинах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покращують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репутацію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734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практики заходи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мінімізації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корупційних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ризиків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умовно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розділити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заходи (у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фінансовій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нефінансовій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сферах)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колективні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заходи.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заходи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особи, заходи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фінансовій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періодичних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незалежних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зовнішніх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фінансових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аудиті</w:t>
            </w:r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ротацій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регулярній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виконують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аудит. Для </w:t>
            </w:r>
            <w:proofErr w:type="spellStart"/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метою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вказаного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висновок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аудиту в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свідчить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боротьбу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(ETS 173)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</w:t>
            </w:r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б’єднаних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боротьбу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ратифіковані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Україною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статей 61, 62, 64 Закону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у тому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вчиненні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посадовими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особами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виконують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роботу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перебувають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відносинах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корупційних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правопорушень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діяльністю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поведінки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розціненою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вчинити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ійне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діяльністю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документах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вичерпного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процедур та порядку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порядку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періодичної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корупційних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ризиків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регулярного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звітування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особа,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реалізацію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засновниками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4F4B9D" w:rsidRPr="004F4B9D" w:rsidRDefault="004F4B9D" w:rsidP="004F4B9D">
            <w:pPr>
              <w:pStyle w:val="a6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Висновок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виданий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року в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адвокатським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об'єднанням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адвокатом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адвокатським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розумінні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адвокатуру та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адвокатську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на </w:t>
            </w:r>
            <w:proofErr w:type="spellStart"/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повинен бути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наданий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відповідний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передбачений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пунктом 4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вказаного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закону, оформлений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належним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чином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4B9D" w:rsidRPr="004F4B9D" w:rsidRDefault="004F4B9D" w:rsidP="004F4B9D">
            <w:pPr>
              <w:pStyle w:val="a6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висновку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адвокатським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бюро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надалі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АБ)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ідтверджуючі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АБ, 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відповідний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 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письмове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регіону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реорганізацію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АБ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адвокату,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створив АБ,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подане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4B9D" w:rsidRPr="004F4B9D" w:rsidRDefault="004F4B9D" w:rsidP="004F4B9D">
            <w:pPr>
              <w:pStyle w:val="a6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висновку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адвокатським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об'єднанням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надалі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АО) у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ідтверджуючі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АО, 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відповідний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 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АО, статут (в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чинній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АО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пошукового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коду доступу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за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існує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перевірити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достовірність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наданого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статуту,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письмове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</w:t>
            </w:r>
            <w:proofErr w:type="gram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регіону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реорганізацію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АО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такого АО,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подане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F4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21C8" w:rsidRPr="00064E8A" w:rsidRDefault="004F4B9D" w:rsidP="004F4B9D">
            <w:pPr>
              <w:pStyle w:val="Standard"/>
              <w:jc w:val="both"/>
              <w:rPr>
                <w:rFonts w:cs="Times New Roman"/>
                <w:lang w:val="uk-UA"/>
              </w:rPr>
            </w:pPr>
            <w:r w:rsidRPr="004F4B9D">
              <w:rPr>
                <w:rFonts w:cs="Times New Roman"/>
                <w:color w:val="000000"/>
              </w:rPr>
              <w:lastRenderedPageBreak/>
              <w:t xml:space="preserve">У </w:t>
            </w:r>
            <w:proofErr w:type="spellStart"/>
            <w:r w:rsidRPr="004F4B9D">
              <w:rPr>
                <w:rFonts w:cs="Times New Roman"/>
                <w:color w:val="000000"/>
              </w:rPr>
              <w:t>разі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надання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висновку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4F4B9D">
              <w:rPr>
                <w:rFonts w:cs="Times New Roman"/>
                <w:color w:val="000000"/>
              </w:rPr>
              <w:t>звіту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) </w:t>
            </w:r>
            <w:proofErr w:type="spellStart"/>
            <w:r w:rsidRPr="004F4B9D">
              <w:rPr>
                <w:rFonts w:cs="Times New Roman"/>
                <w:color w:val="000000"/>
              </w:rPr>
              <w:t>про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проведення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антикорупційного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аудиту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адвокатом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у </w:t>
            </w:r>
            <w:proofErr w:type="spellStart"/>
            <w:r w:rsidRPr="004F4B9D">
              <w:rPr>
                <w:rFonts w:cs="Times New Roman"/>
                <w:color w:val="000000"/>
              </w:rPr>
              <w:t>складі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пропозиції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учасника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надаються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відповідні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підтверджуючі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документи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щодо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такого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адвоката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, а </w:t>
            </w:r>
            <w:proofErr w:type="spellStart"/>
            <w:r w:rsidRPr="004F4B9D">
              <w:rPr>
                <w:rFonts w:cs="Times New Roman"/>
                <w:color w:val="000000"/>
              </w:rPr>
              <w:t>саме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: </w:t>
            </w:r>
            <w:proofErr w:type="spellStart"/>
            <w:r w:rsidRPr="004F4B9D">
              <w:rPr>
                <w:rFonts w:cs="Times New Roman"/>
                <w:color w:val="000000"/>
              </w:rPr>
              <w:t>свідоцтво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про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право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на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заняття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адвокатською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діяльністю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4F4B9D">
              <w:rPr>
                <w:rFonts w:cs="Times New Roman"/>
                <w:color w:val="000000"/>
              </w:rPr>
              <w:t>витяг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з </w:t>
            </w:r>
            <w:proofErr w:type="spellStart"/>
            <w:r w:rsidRPr="004F4B9D">
              <w:rPr>
                <w:rFonts w:cs="Times New Roman"/>
                <w:color w:val="000000"/>
              </w:rPr>
              <w:t>Єдиного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реєстру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адвокатів</w:t>
            </w:r>
            <w:proofErr w:type="spellEnd"/>
            <w:r w:rsidRPr="004F4B9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F4B9D">
              <w:rPr>
                <w:rFonts w:cs="Times New Roman"/>
                <w:color w:val="000000"/>
              </w:rPr>
              <w:t>України</w:t>
            </w:r>
            <w:proofErr w:type="spellEnd"/>
            <w:r w:rsidRPr="004F4B9D">
              <w:rPr>
                <w:rFonts w:cs="Times New Roman"/>
                <w:color w:val="00000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9921C8" w:rsidRPr="004F4B9D" w:rsidRDefault="004F4B9D" w:rsidP="0030532E">
            <w:pPr>
              <w:pStyle w:val="Standard"/>
              <w:jc w:val="both"/>
              <w:rPr>
                <w:lang w:val="uk-UA"/>
              </w:rPr>
            </w:pPr>
            <w:bookmarkStart w:id="0" w:name="n803"/>
            <w:bookmarkStart w:id="1" w:name="n804"/>
            <w:bookmarkStart w:id="2" w:name="n805"/>
            <w:bookmarkEnd w:id="0"/>
            <w:bookmarkEnd w:id="1"/>
            <w:bookmarkEnd w:id="2"/>
            <w:r>
              <w:rPr>
                <w:lang w:val="uk-UA"/>
              </w:rPr>
              <w:lastRenderedPageBreak/>
              <w:t>Виключено</w:t>
            </w:r>
          </w:p>
        </w:tc>
      </w:tr>
    </w:tbl>
    <w:p w:rsidR="00DE2DA2" w:rsidRPr="00D24E6C" w:rsidRDefault="00DE2DA2" w:rsidP="005D5EC8">
      <w:pPr>
        <w:rPr>
          <w:lang w:val="uk-UA"/>
        </w:rPr>
      </w:pPr>
      <w:bookmarkStart w:id="3" w:name="_GoBack"/>
      <w:bookmarkEnd w:id="3"/>
    </w:p>
    <w:sectPr w:rsidR="00DE2DA2" w:rsidRPr="00D24E6C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511D5"/>
    <w:multiLevelType w:val="multilevel"/>
    <w:tmpl w:val="ABFA4AB8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3"/>
  </w:num>
  <w:num w:numId="19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4A56"/>
    <w:rsid w:val="000379D1"/>
    <w:rsid w:val="00043618"/>
    <w:rsid w:val="00051458"/>
    <w:rsid w:val="00064E8A"/>
    <w:rsid w:val="00065E02"/>
    <w:rsid w:val="00075251"/>
    <w:rsid w:val="00095DFE"/>
    <w:rsid w:val="0009624C"/>
    <w:rsid w:val="000A1501"/>
    <w:rsid w:val="000A2870"/>
    <w:rsid w:val="000A2A7D"/>
    <w:rsid w:val="000A47FF"/>
    <w:rsid w:val="000D4047"/>
    <w:rsid w:val="000F037B"/>
    <w:rsid w:val="000F2ACA"/>
    <w:rsid w:val="000F2E8F"/>
    <w:rsid w:val="00102111"/>
    <w:rsid w:val="0010309C"/>
    <w:rsid w:val="0010659C"/>
    <w:rsid w:val="0011733E"/>
    <w:rsid w:val="001173D3"/>
    <w:rsid w:val="00122178"/>
    <w:rsid w:val="00122593"/>
    <w:rsid w:val="00124E06"/>
    <w:rsid w:val="001328FD"/>
    <w:rsid w:val="00133995"/>
    <w:rsid w:val="001348E6"/>
    <w:rsid w:val="00135872"/>
    <w:rsid w:val="0014150E"/>
    <w:rsid w:val="0014505D"/>
    <w:rsid w:val="001556E2"/>
    <w:rsid w:val="00161519"/>
    <w:rsid w:val="00167CFB"/>
    <w:rsid w:val="00173BD6"/>
    <w:rsid w:val="00182093"/>
    <w:rsid w:val="00183E5D"/>
    <w:rsid w:val="00185599"/>
    <w:rsid w:val="001876C2"/>
    <w:rsid w:val="0019075F"/>
    <w:rsid w:val="00193B4E"/>
    <w:rsid w:val="001A7749"/>
    <w:rsid w:val="001B4A2E"/>
    <w:rsid w:val="001C6F38"/>
    <w:rsid w:val="001C75F2"/>
    <w:rsid w:val="001D3652"/>
    <w:rsid w:val="001E6564"/>
    <w:rsid w:val="001F32A8"/>
    <w:rsid w:val="00200A34"/>
    <w:rsid w:val="00205F63"/>
    <w:rsid w:val="00221D41"/>
    <w:rsid w:val="00234615"/>
    <w:rsid w:val="0024073B"/>
    <w:rsid w:val="00241B16"/>
    <w:rsid w:val="00252097"/>
    <w:rsid w:val="002532D4"/>
    <w:rsid w:val="00275EBC"/>
    <w:rsid w:val="0027776F"/>
    <w:rsid w:val="00291226"/>
    <w:rsid w:val="002964AF"/>
    <w:rsid w:val="002B1046"/>
    <w:rsid w:val="002B2FD3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3760"/>
    <w:rsid w:val="002F1201"/>
    <w:rsid w:val="002F1EAD"/>
    <w:rsid w:val="002F1F2C"/>
    <w:rsid w:val="002F71E2"/>
    <w:rsid w:val="002F7BFE"/>
    <w:rsid w:val="003007C7"/>
    <w:rsid w:val="00301F1D"/>
    <w:rsid w:val="0030532E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33AC"/>
    <w:rsid w:val="003559D1"/>
    <w:rsid w:val="00360DC0"/>
    <w:rsid w:val="00361FA7"/>
    <w:rsid w:val="003627FB"/>
    <w:rsid w:val="00367653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0859"/>
    <w:rsid w:val="003D33BD"/>
    <w:rsid w:val="003D48AF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25A0E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CEE"/>
    <w:rsid w:val="00474E03"/>
    <w:rsid w:val="004775ED"/>
    <w:rsid w:val="00492C2A"/>
    <w:rsid w:val="00496892"/>
    <w:rsid w:val="004D47C2"/>
    <w:rsid w:val="004D4B65"/>
    <w:rsid w:val="004D4FE9"/>
    <w:rsid w:val="004D6D61"/>
    <w:rsid w:val="004E510B"/>
    <w:rsid w:val="004E5B53"/>
    <w:rsid w:val="004F4B9D"/>
    <w:rsid w:val="004F5E6E"/>
    <w:rsid w:val="004F681C"/>
    <w:rsid w:val="004F7CBE"/>
    <w:rsid w:val="00505182"/>
    <w:rsid w:val="005111A8"/>
    <w:rsid w:val="0051371E"/>
    <w:rsid w:val="005138E1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67C87"/>
    <w:rsid w:val="005715C2"/>
    <w:rsid w:val="0057200A"/>
    <w:rsid w:val="00574B95"/>
    <w:rsid w:val="0057600B"/>
    <w:rsid w:val="005773BC"/>
    <w:rsid w:val="00590D63"/>
    <w:rsid w:val="00593B6C"/>
    <w:rsid w:val="005A203C"/>
    <w:rsid w:val="005A3C16"/>
    <w:rsid w:val="005A58BD"/>
    <w:rsid w:val="005B2603"/>
    <w:rsid w:val="005C2A46"/>
    <w:rsid w:val="005C3DE7"/>
    <w:rsid w:val="005C6C3D"/>
    <w:rsid w:val="005C7AD7"/>
    <w:rsid w:val="005D1026"/>
    <w:rsid w:val="005D3E76"/>
    <w:rsid w:val="005D4C77"/>
    <w:rsid w:val="005D5EC8"/>
    <w:rsid w:val="005E0D74"/>
    <w:rsid w:val="005E1D73"/>
    <w:rsid w:val="005E26C7"/>
    <w:rsid w:val="005E4CCC"/>
    <w:rsid w:val="005F172A"/>
    <w:rsid w:val="005F40A1"/>
    <w:rsid w:val="005F4E83"/>
    <w:rsid w:val="005F68D7"/>
    <w:rsid w:val="00605021"/>
    <w:rsid w:val="0062181B"/>
    <w:rsid w:val="00621D51"/>
    <w:rsid w:val="00621FB4"/>
    <w:rsid w:val="00624151"/>
    <w:rsid w:val="0062664E"/>
    <w:rsid w:val="00633115"/>
    <w:rsid w:val="00633659"/>
    <w:rsid w:val="0063641C"/>
    <w:rsid w:val="0064372D"/>
    <w:rsid w:val="006445C8"/>
    <w:rsid w:val="0066642E"/>
    <w:rsid w:val="00667849"/>
    <w:rsid w:val="00670D6F"/>
    <w:rsid w:val="00674D7C"/>
    <w:rsid w:val="0067512D"/>
    <w:rsid w:val="00677280"/>
    <w:rsid w:val="0068477C"/>
    <w:rsid w:val="00693F29"/>
    <w:rsid w:val="006A2FB5"/>
    <w:rsid w:val="006A4B73"/>
    <w:rsid w:val="006B00F7"/>
    <w:rsid w:val="006C0419"/>
    <w:rsid w:val="006C1770"/>
    <w:rsid w:val="006D0ED7"/>
    <w:rsid w:val="006E6576"/>
    <w:rsid w:val="006E6E57"/>
    <w:rsid w:val="006F5B75"/>
    <w:rsid w:val="00701F6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8170D"/>
    <w:rsid w:val="00790F02"/>
    <w:rsid w:val="0079149B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803DBA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27D9"/>
    <w:rsid w:val="00876A5F"/>
    <w:rsid w:val="00885D51"/>
    <w:rsid w:val="00886CA8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55DA"/>
    <w:rsid w:val="009176F3"/>
    <w:rsid w:val="00920A69"/>
    <w:rsid w:val="00924724"/>
    <w:rsid w:val="00924C0E"/>
    <w:rsid w:val="0092557E"/>
    <w:rsid w:val="00925AFC"/>
    <w:rsid w:val="00927BAE"/>
    <w:rsid w:val="00930114"/>
    <w:rsid w:val="00941063"/>
    <w:rsid w:val="009442D4"/>
    <w:rsid w:val="00953250"/>
    <w:rsid w:val="00967F73"/>
    <w:rsid w:val="00970ACB"/>
    <w:rsid w:val="0097153B"/>
    <w:rsid w:val="00972612"/>
    <w:rsid w:val="009921C8"/>
    <w:rsid w:val="009922DB"/>
    <w:rsid w:val="00992560"/>
    <w:rsid w:val="009936B1"/>
    <w:rsid w:val="00994486"/>
    <w:rsid w:val="009B4099"/>
    <w:rsid w:val="009C36DE"/>
    <w:rsid w:val="009C4831"/>
    <w:rsid w:val="009C72A3"/>
    <w:rsid w:val="009C7826"/>
    <w:rsid w:val="009D4594"/>
    <w:rsid w:val="009E1783"/>
    <w:rsid w:val="009F2B9D"/>
    <w:rsid w:val="009F2CC2"/>
    <w:rsid w:val="009F6600"/>
    <w:rsid w:val="009F74A3"/>
    <w:rsid w:val="00A04DB8"/>
    <w:rsid w:val="00A06156"/>
    <w:rsid w:val="00A14B3B"/>
    <w:rsid w:val="00A14F04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91E15"/>
    <w:rsid w:val="00A9235F"/>
    <w:rsid w:val="00AA0D55"/>
    <w:rsid w:val="00AA7449"/>
    <w:rsid w:val="00AB1C33"/>
    <w:rsid w:val="00AB4505"/>
    <w:rsid w:val="00AB6ABB"/>
    <w:rsid w:val="00AC15E3"/>
    <w:rsid w:val="00AC2695"/>
    <w:rsid w:val="00AC3311"/>
    <w:rsid w:val="00AD30D0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67F0F"/>
    <w:rsid w:val="00B7050D"/>
    <w:rsid w:val="00B71335"/>
    <w:rsid w:val="00B7139A"/>
    <w:rsid w:val="00B72C4A"/>
    <w:rsid w:val="00B7459E"/>
    <w:rsid w:val="00B82903"/>
    <w:rsid w:val="00B856AB"/>
    <w:rsid w:val="00B85925"/>
    <w:rsid w:val="00B871D7"/>
    <w:rsid w:val="00B87D93"/>
    <w:rsid w:val="00BA0A20"/>
    <w:rsid w:val="00BA7CE1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2C04"/>
    <w:rsid w:val="00BE38EE"/>
    <w:rsid w:val="00BF1CED"/>
    <w:rsid w:val="00C01053"/>
    <w:rsid w:val="00C071FB"/>
    <w:rsid w:val="00C11312"/>
    <w:rsid w:val="00C12978"/>
    <w:rsid w:val="00C1514C"/>
    <w:rsid w:val="00C15696"/>
    <w:rsid w:val="00C23B7D"/>
    <w:rsid w:val="00C242F8"/>
    <w:rsid w:val="00C24E70"/>
    <w:rsid w:val="00C24F7E"/>
    <w:rsid w:val="00C36C6E"/>
    <w:rsid w:val="00C40108"/>
    <w:rsid w:val="00C503F4"/>
    <w:rsid w:val="00C53C1C"/>
    <w:rsid w:val="00C66DCA"/>
    <w:rsid w:val="00C70295"/>
    <w:rsid w:val="00C74F17"/>
    <w:rsid w:val="00C85CE1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D008E4"/>
    <w:rsid w:val="00D01426"/>
    <w:rsid w:val="00D018A2"/>
    <w:rsid w:val="00D053DF"/>
    <w:rsid w:val="00D11D97"/>
    <w:rsid w:val="00D15BA0"/>
    <w:rsid w:val="00D22DCD"/>
    <w:rsid w:val="00D24E6C"/>
    <w:rsid w:val="00D25F33"/>
    <w:rsid w:val="00D27C33"/>
    <w:rsid w:val="00D352ED"/>
    <w:rsid w:val="00D36FBC"/>
    <w:rsid w:val="00D37744"/>
    <w:rsid w:val="00D51AC8"/>
    <w:rsid w:val="00D55982"/>
    <w:rsid w:val="00D576F1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F2D37"/>
    <w:rsid w:val="00DF428A"/>
    <w:rsid w:val="00DF5E33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3B13"/>
    <w:rsid w:val="00E64CD6"/>
    <w:rsid w:val="00E65867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B7B5B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522E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7186"/>
    <w:rsid w:val="00FA16F5"/>
    <w:rsid w:val="00FA275E"/>
    <w:rsid w:val="00FA4AF9"/>
    <w:rsid w:val="00FB2068"/>
    <w:rsid w:val="00FB3046"/>
    <w:rsid w:val="00FB3120"/>
    <w:rsid w:val="00FB3FF9"/>
    <w:rsid w:val="00FC45AF"/>
    <w:rsid w:val="00FC5BFD"/>
    <w:rsid w:val="00FC60B7"/>
    <w:rsid w:val="00FC7DCE"/>
    <w:rsid w:val="00FD134F"/>
    <w:rsid w:val="00FD1DCD"/>
    <w:rsid w:val="00FD38F8"/>
    <w:rsid w:val="00FE0DAF"/>
    <w:rsid w:val="00FE186B"/>
    <w:rsid w:val="00FF1F9B"/>
    <w:rsid w:val="00FF2148"/>
    <w:rsid w:val="00FF4214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50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e"/>
    <w:uiPriority w:val="99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numbering" w:customStyle="1" w:styleId="WWNum5">
    <w:name w:val="WWNum5"/>
    <w:rsid w:val="009F2B9D"/>
    <w:pPr>
      <w:numPr>
        <w:numId w:val="17"/>
      </w:numPr>
    </w:pPr>
  </w:style>
  <w:style w:type="character" w:customStyle="1" w:styleId="WW8Num3z3">
    <w:name w:val="WW8Num3z3"/>
    <w:rsid w:val="009921C8"/>
    <w:rPr>
      <w:rFonts w:ascii="Symbol" w:hAnsi="Symbol" w:cs="Symbol" w:hint="default"/>
    </w:rPr>
  </w:style>
  <w:style w:type="character" w:customStyle="1" w:styleId="apple-converted-space">
    <w:name w:val="apple-converted-space"/>
    <w:basedOn w:val="a1"/>
    <w:rsid w:val="0080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e"/>
    <w:uiPriority w:val="99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numbering" w:customStyle="1" w:styleId="WWNum5">
    <w:name w:val="WWNum5"/>
    <w:rsid w:val="009F2B9D"/>
    <w:pPr>
      <w:numPr>
        <w:numId w:val="17"/>
      </w:numPr>
    </w:pPr>
  </w:style>
  <w:style w:type="character" w:customStyle="1" w:styleId="WW8Num3z3">
    <w:name w:val="WW8Num3z3"/>
    <w:rsid w:val="009921C8"/>
    <w:rPr>
      <w:rFonts w:ascii="Symbol" w:hAnsi="Symbol" w:cs="Symbol" w:hint="default"/>
    </w:rPr>
  </w:style>
  <w:style w:type="character" w:customStyle="1" w:styleId="apple-converted-space">
    <w:name w:val="apple-converted-space"/>
    <w:basedOn w:val="a1"/>
    <w:rsid w:val="00803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0-00956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Домик</cp:lastModifiedBy>
  <cp:revision>2</cp:revision>
  <cp:lastPrinted>2021-09-23T15:12:00Z</cp:lastPrinted>
  <dcterms:created xsi:type="dcterms:W3CDTF">2024-04-17T15:15:00Z</dcterms:created>
  <dcterms:modified xsi:type="dcterms:W3CDTF">2024-04-17T15:15:00Z</dcterms:modified>
</cp:coreProperties>
</file>