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062C8D" w:rsidRDefault="0010524F" w:rsidP="000247E2">
      <w:pPr>
        <w:widowControl w:val="0"/>
        <w:spacing w:line="240" w:lineRule="auto"/>
        <w:ind w:firstLine="5954"/>
        <w:contextualSpacing/>
        <w:rPr>
          <w:rFonts w:ascii="Times New Roman" w:hAnsi="Times New Roman" w:cs="Times New Roman"/>
          <w:color w:val="000000"/>
        </w:rPr>
      </w:pPr>
      <w:r w:rsidRPr="00062C8D">
        <w:rPr>
          <w:rFonts w:ascii="Times New Roman" w:hAnsi="Times New Roman" w:cs="Times New Roman"/>
          <w:color w:val="000000"/>
        </w:rPr>
        <w:t>Додаток 1</w:t>
      </w:r>
    </w:p>
    <w:p w:rsidR="0010524F" w:rsidRPr="00062C8D" w:rsidRDefault="0010524F" w:rsidP="000247E2">
      <w:pPr>
        <w:widowControl w:val="0"/>
        <w:spacing w:line="240" w:lineRule="auto"/>
        <w:ind w:firstLine="5954"/>
        <w:contextualSpacing/>
        <w:rPr>
          <w:rFonts w:ascii="Times New Roman" w:hAnsi="Times New Roman" w:cs="Times New Roman"/>
          <w:color w:val="000000"/>
        </w:rPr>
      </w:pPr>
      <w:r w:rsidRPr="00062C8D">
        <w:rPr>
          <w:rFonts w:ascii="Times New Roman" w:hAnsi="Times New Roman" w:cs="Times New Roman"/>
          <w:color w:val="000000"/>
        </w:rPr>
        <w:t>до тендерної документації</w:t>
      </w:r>
    </w:p>
    <w:p w:rsidR="0010524F" w:rsidRPr="00062C8D" w:rsidRDefault="0010524F" w:rsidP="000247E2">
      <w:pPr>
        <w:widowControl w:val="0"/>
        <w:spacing w:line="240" w:lineRule="auto"/>
        <w:contextualSpacing/>
        <w:rPr>
          <w:rFonts w:ascii="Times New Roman" w:hAnsi="Times New Roman" w:cs="Times New Roman"/>
          <w:color w:val="000000"/>
        </w:rPr>
      </w:pPr>
    </w:p>
    <w:p w:rsidR="0010524F" w:rsidRPr="00062C8D" w:rsidRDefault="0010524F" w:rsidP="000247E2">
      <w:pPr>
        <w:spacing w:after="0" w:line="240" w:lineRule="auto"/>
        <w:jc w:val="center"/>
        <w:rPr>
          <w:rFonts w:ascii="Times New Roman" w:eastAsia="Times New Roman" w:hAnsi="Times New Roman" w:cs="Times New Roman"/>
          <w:b/>
          <w:bCs/>
          <w:lang w:eastAsia="ru-RU"/>
        </w:rPr>
      </w:pPr>
      <w:r w:rsidRPr="00062C8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Pr="00062C8D" w:rsidRDefault="00740BB3" w:rsidP="000247E2">
      <w:pPr>
        <w:spacing w:after="0" w:line="240" w:lineRule="auto"/>
        <w:jc w:val="center"/>
        <w:rPr>
          <w:rFonts w:ascii="Times New Roman" w:eastAsia="Times New Roman" w:hAnsi="Times New Roman" w:cs="Times New Roman"/>
          <w:b/>
          <w:bCs/>
          <w:lang w:eastAsia="ru-RU"/>
        </w:rPr>
      </w:pPr>
      <w:r w:rsidRPr="00062C8D">
        <w:rPr>
          <w:rFonts w:ascii="Times New Roman" w:eastAsia="Times New Roman" w:hAnsi="Times New Roman" w:cs="Times New Roman"/>
          <w:b/>
          <w:bCs/>
          <w:lang w:eastAsia="ru-RU"/>
        </w:rPr>
        <w:t xml:space="preserve"> </w:t>
      </w:r>
      <w:r w:rsidR="00922EA8" w:rsidRPr="00062C8D">
        <w:rPr>
          <w:rFonts w:ascii="Times New Roman" w:eastAsia="Times New Roman" w:hAnsi="Times New Roman" w:cs="Times New Roman"/>
          <w:b/>
          <w:bCs/>
          <w:lang w:eastAsia="ru-RU"/>
        </w:rPr>
        <w:t xml:space="preserve"> </w:t>
      </w:r>
      <w:r w:rsidR="005B6CA5" w:rsidRPr="00062C8D">
        <w:rPr>
          <w:rFonts w:ascii="Times New Roman" w:eastAsia="Times New Roman" w:hAnsi="Times New Roman" w:cs="Times New Roman"/>
          <w:b/>
          <w:bCs/>
          <w:lang w:eastAsia="ru-RU"/>
        </w:rPr>
        <w:t xml:space="preserve"> </w:t>
      </w:r>
    </w:p>
    <w:p w:rsidR="00D5739F" w:rsidRPr="00062C8D" w:rsidRDefault="00D5739F" w:rsidP="00D5739F">
      <w:pPr>
        <w:spacing w:after="0" w:line="240" w:lineRule="auto"/>
        <w:jc w:val="center"/>
        <w:rPr>
          <w:rFonts w:ascii="Times New Roman" w:eastAsia="Times New Roman" w:hAnsi="Times New Roman" w:cs="Times New Roman"/>
          <w:b/>
          <w:lang w:eastAsia="ru-RU"/>
        </w:rPr>
      </w:pPr>
      <w:r w:rsidRPr="00062C8D">
        <w:rPr>
          <w:rFonts w:ascii="Times New Roman" w:eastAsia="Times New Roman" w:hAnsi="Times New Roman" w:cs="Times New Roman"/>
          <w:b/>
          <w:lang w:eastAsia="ru-RU"/>
        </w:rPr>
        <w:t>Таблиця 1. Документи, які повинен надати учасник у складі тенд</w:t>
      </w:r>
      <w:bookmarkStart w:id="0" w:name="_GoBack"/>
      <w:bookmarkEnd w:id="0"/>
      <w:r w:rsidRPr="00062C8D">
        <w:rPr>
          <w:rFonts w:ascii="Times New Roman" w:eastAsia="Times New Roman" w:hAnsi="Times New Roman" w:cs="Times New Roman"/>
          <w:b/>
          <w:lang w:eastAsia="ru-RU"/>
        </w:rPr>
        <w:t>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D5739F" w:rsidRPr="00062C8D" w:rsidRDefault="00D5739F" w:rsidP="00D5739F">
      <w:pPr>
        <w:suppressAutoHyphens/>
        <w:spacing w:after="0" w:line="240" w:lineRule="auto"/>
        <w:contextualSpacing/>
        <w:jc w:val="center"/>
        <w:rPr>
          <w:rFonts w:ascii="Times New Roman" w:eastAsia="Times New Roman" w:hAnsi="Times New Roman" w:cs="Times New Roman"/>
          <w:b/>
          <w:lang w:eastAsia="ru-RU"/>
        </w:rPr>
      </w:pPr>
    </w:p>
    <w:p w:rsidR="00D5739F" w:rsidRPr="00062C8D" w:rsidRDefault="00D5739F" w:rsidP="00D5739F">
      <w:pPr>
        <w:spacing w:after="0" w:line="240" w:lineRule="auto"/>
        <w:rPr>
          <w:rFonts w:ascii="Times New Roman" w:eastAsia="Times New Roman" w:hAnsi="Times New Roman" w:cs="Times New Roman"/>
          <w:i/>
          <w:color w:val="000000"/>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D5739F" w:rsidRPr="00062C8D" w:rsidTr="00151B20">
        <w:trPr>
          <w:trHeight w:val="88"/>
        </w:trPr>
        <w:tc>
          <w:tcPr>
            <w:tcW w:w="417" w:type="dxa"/>
            <w:shd w:val="clear" w:color="auto" w:fill="auto"/>
          </w:tcPr>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r w:rsidRPr="00062C8D">
              <w:rPr>
                <w:rFonts w:ascii="Times New Roman" w:eastAsia="Times New Roman" w:hAnsi="Times New Roman"/>
                <w:b/>
                <w:lang w:eastAsia="ru-RU"/>
              </w:rPr>
              <w:t>№</w:t>
            </w:r>
          </w:p>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p>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D5739F" w:rsidRPr="00062C8D" w:rsidRDefault="00D5739F" w:rsidP="00151B20">
            <w:pPr>
              <w:tabs>
                <w:tab w:val="left" w:pos="284"/>
              </w:tabs>
              <w:suppressAutoHyphens/>
              <w:spacing w:after="0" w:line="240" w:lineRule="auto"/>
              <w:jc w:val="center"/>
              <w:rPr>
                <w:rFonts w:ascii="Times New Roman" w:eastAsia="Times New Roman" w:hAnsi="Times New Roman"/>
                <w:b/>
                <w:lang w:eastAsia="ru-RU"/>
              </w:rPr>
            </w:pPr>
            <w:r w:rsidRPr="00062C8D">
              <w:rPr>
                <w:rFonts w:ascii="Times New Roman" w:eastAsia="Times New Roman" w:hAnsi="Times New Roman"/>
                <w:b/>
                <w:lang w:eastAsia="ru-RU"/>
              </w:rPr>
              <w:t>Кваліфікаційні</w:t>
            </w:r>
          </w:p>
          <w:p w:rsidR="00D5739F" w:rsidRPr="00062C8D" w:rsidRDefault="00D5739F" w:rsidP="00151B20">
            <w:pPr>
              <w:tabs>
                <w:tab w:val="left" w:pos="284"/>
              </w:tabs>
              <w:suppressAutoHyphens/>
              <w:spacing w:after="0" w:line="240" w:lineRule="auto"/>
              <w:jc w:val="center"/>
              <w:rPr>
                <w:rFonts w:ascii="Times New Roman" w:eastAsia="Times New Roman" w:hAnsi="Times New Roman"/>
                <w:b/>
                <w:lang w:eastAsia="ru-RU"/>
              </w:rPr>
            </w:pPr>
            <w:r w:rsidRPr="00062C8D">
              <w:rPr>
                <w:rFonts w:ascii="Times New Roman" w:eastAsia="Times New Roman" w:hAnsi="Times New Roman"/>
                <w:b/>
                <w:lang w:eastAsia="ru-RU"/>
              </w:rPr>
              <w:t>критерії та</w:t>
            </w:r>
          </w:p>
          <w:p w:rsidR="00D5739F" w:rsidRPr="00062C8D" w:rsidRDefault="00D5739F" w:rsidP="00151B20">
            <w:pPr>
              <w:tabs>
                <w:tab w:val="left" w:pos="284"/>
              </w:tabs>
              <w:suppressAutoHyphens/>
              <w:spacing w:after="0" w:line="240" w:lineRule="auto"/>
              <w:jc w:val="center"/>
              <w:rPr>
                <w:rFonts w:ascii="Times New Roman" w:eastAsia="Times New Roman" w:hAnsi="Times New Roman"/>
                <w:b/>
                <w:bCs/>
                <w:color w:val="000000"/>
                <w:lang w:eastAsia="ru-RU"/>
              </w:rPr>
            </w:pPr>
            <w:r w:rsidRPr="00062C8D">
              <w:rPr>
                <w:rFonts w:ascii="Times New Roman" w:eastAsia="Times New Roman" w:hAnsi="Times New Roman"/>
                <w:b/>
                <w:lang w:eastAsia="ru-RU"/>
              </w:rPr>
              <w:t>вимоги</w:t>
            </w:r>
          </w:p>
        </w:tc>
        <w:tc>
          <w:tcPr>
            <w:tcW w:w="7123" w:type="dxa"/>
            <w:shd w:val="clear" w:color="auto" w:fill="auto"/>
          </w:tcPr>
          <w:p w:rsidR="00D5739F" w:rsidRPr="00062C8D" w:rsidRDefault="00D5739F" w:rsidP="00151B20">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062C8D">
              <w:rPr>
                <w:rFonts w:ascii="Times New Roman" w:eastAsia="Times New Roman" w:hAnsi="Times New Roman"/>
                <w:b/>
                <w:bCs/>
                <w:color w:val="000000"/>
                <w:lang w:eastAsia="ru-RU"/>
              </w:rPr>
              <w:t>Перелік документів</w:t>
            </w:r>
          </w:p>
        </w:tc>
      </w:tr>
      <w:tr w:rsidR="00D5739F" w:rsidRPr="00062C8D" w:rsidTr="00151B20">
        <w:trPr>
          <w:trHeight w:val="88"/>
        </w:trPr>
        <w:tc>
          <w:tcPr>
            <w:tcW w:w="417" w:type="dxa"/>
            <w:shd w:val="clear" w:color="auto" w:fill="auto"/>
          </w:tcPr>
          <w:p w:rsidR="00D5739F" w:rsidRPr="00062C8D" w:rsidRDefault="00D5739F" w:rsidP="00151B20">
            <w:pPr>
              <w:tabs>
                <w:tab w:val="left" w:pos="70"/>
                <w:tab w:val="left" w:pos="284"/>
              </w:tabs>
              <w:suppressAutoHyphens/>
              <w:spacing w:after="0" w:line="240" w:lineRule="auto"/>
              <w:rPr>
                <w:rFonts w:ascii="Times New Roman" w:eastAsia="Times New Roman" w:hAnsi="Times New Roman"/>
                <w:b/>
                <w:lang w:eastAsia="ru-RU"/>
              </w:rPr>
            </w:pPr>
            <w:r w:rsidRPr="00062C8D">
              <w:rPr>
                <w:rFonts w:ascii="Times New Roman" w:eastAsia="Times New Roman" w:hAnsi="Times New Roman"/>
                <w:b/>
                <w:lang w:eastAsia="ru-RU"/>
              </w:rPr>
              <w:t>1.</w:t>
            </w:r>
          </w:p>
        </w:tc>
        <w:tc>
          <w:tcPr>
            <w:tcW w:w="2232" w:type="dxa"/>
            <w:shd w:val="clear" w:color="auto" w:fill="auto"/>
          </w:tcPr>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r w:rsidRPr="00062C8D">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D5739F" w:rsidRPr="00062C8D" w:rsidRDefault="00D5739F" w:rsidP="00151B20">
            <w:pPr>
              <w:spacing w:after="0" w:line="240" w:lineRule="auto"/>
              <w:ind w:left="34" w:firstLine="34"/>
              <w:jc w:val="both"/>
              <w:rPr>
                <w:rFonts w:ascii="Times New Roman" w:eastAsia="Times New Roman" w:hAnsi="Times New Roman"/>
                <w:lang w:eastAsia="ru-RU"/>
              </w:rPr>
            </w:pPr>
            <w:r w:rsidRPr="00062C8D">
              <w:rPr>
                <w:rFonts w:ascii="Times New Roman" w:eastAsia="Times New Roman" w:hAnsi="Times New Roman"/>
                <w:lang w:eastAsia="ru-RU"/>
              </w:rPr>
              <w:t xml:space="preserve">Довідка </w:t>
            </w:r>
            <w:r w:rsidRPr="00062C8D">
              <w:rPr>
                <w:rFonts w:ascii="Times New Roman" w:eastAsia="Times New Roman" w:hAnsi="Times New Roman"/>
                <w:iCs/>
                <w:lang w:eastAsia="ru-RU"/>
              </w:rPr>
              <w:t>у довільній формі</w:t>
            </w:r>
            <w:r w:rsidRPr="00062C8D">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5739F" w:rsidRPr="00062C8D" w:rsidRDefault="00D5739F" w:rsidP="00151B20">
            <w:pPr>
              <w:pStyle w:val="a6"/>
              <w:numPr>
                <w:ilvl w:val="1"/>
                <w:numId w:val="14"/>
              </w:numPr>
              <w:spacing w:after="0" w:line="240" w:lineRule="auto"/>
              <w:ind w:left="66" w:firstLine="0"/>
              <w:jc w:val="both"/>
              <w:rPr>
                <w:rFonts w:ascii="Times New Roman" w:eastAsia="SimSun" w:hAnsi="Times New Roman"/>
                <w:color w:val="000000"/>
                <w:kern w:val="3"/>
              </w:rPr>
            </w:pPr>
            <w:r w:rsidRPr="00062C8D">
              <w:rPr>
                <w:rFonts w:ascii="Times New Roman" w:eastAsia="SimSun" w:hAnsi="Times New Roman"/>
                <w:color w:val="000000"/>
                <w:kern w:val="3"/>
              </w:rPr>
              <w:t>Інформацію щодо наявності в учасника спеціалізованого автотранспорту (власного та/або залученого);</w:t>
            </w:r>
          </w:p>
          <w:p w:rsidR="00D5739F" w:rsidRPr="00062C8D" w:rsidRDefault="00D5739F" w:rsidP="00151B20">
            <w:pPr>
              <w:pStyle w:val="a6"/>
              <w:numPr>
                <w:ilvl w:val="0"/>
                <w:numId w:val="13"/>
              </w:numPr>
              <w:spacing w:after="0" w:line="240" w:lineRule="auto"/>
              <w:ind w:left="66" w:firstLine="425"/>
              <w:jc w:val="both"/>
              <w:rPr>
                <w:rFonts w:ascii="Times New Roman" w:eastAsia="SimSun" w:hAnsi="Times New Roman"/>
                <w:color w:val="000000"/>
                <w:kern w:val="3"/>
              </w:rPr>
            </w:pPr>
            <w:r w:rsidRPr="00062C8D">
              <w:rPr>
                <w:rFonts w:ascii="Times New Roman" w:eastAsia="SimSun" w:hAnsi="Times New Roman"/>
                <w:color w:val="000000"/>
                <w:kern w:val="3"/>
              </w:rPr>
              <w:t xml:space="preserve">У випадку, якщо учасник процедури закупівлі користуватиметься залученим автотранспортом, необхідно надати:  копію договору оренди (користування) транспортних засобів, або копію договору про надання послуг перевезення; копію свідоцтва про реєстрацію транспортного засобу на залучений автотранспорт, яким буде постачатися товар </w:t>
            </w:r>
          </w:p>
          <w:p w:rsidR="00D5739F" w:rsidRPr="00062C8D" w:rsidRDefault="00D5739F" w:rsidP="00151B20">
            <w:pPr>
              <w:pStyle w:val="a6"/>
              <w:spacing w:after="0" w:line="240" w:lineRule="auto"/>
              <w:ind w:left="66" w:firstLine="425"/>
              <w:jc w:val="both"/>
              <w:rPr>
                <w:rFonts w:ascii="Times New Roman" w:eastAsia="SimSun" w:hAnsi="Times New Roman"/>
                <w:color w:val="000000"/>
                <w:kern w:val="3"/>
              </w:rPr>
            </w:pPr>
            <w:r w:rsidRPr="00062C8D">
              <w:rPr>
                <w:rFonts w:ascii="Times New Roman" w:eastAsia="SimSun" w:hAnsi="Times New Roman"/>
                <w:color w:val="000000"/>
                <w:kern w:val="3"/>
              </w:rPr>
              <w:t>- У разі, якщо учасник Процедури закупівлі користуватиметься власним автотранспортом, необхідно надати: - копію свідоцтва про реєстрацію транспортного засобу на залучений автотранспорт, яким буде постачатися товар;</w:t>
            </w:r>
          </w:p>
          <w:p w:rsidR="00D5739F" w:rsidRPr="00062C8D" w:rsidRDefault="00D5739F" w:rsidP="00151B20">
            <w:pPr>
              <w:pStyle w:val="a6"/>
              <w:spacing w:after="0" w:line="240" w:lineRule="auto"/>
              <w:ind w:left="66" w:firstLine="425"/>
              <w:jc w:val="both"/>
              <w:rPr>
                <w:rFonts w:ascii="Times New Roman" w:hAnsi="Times New Roman"/>
                <w:color w:val="000000"/>
              </w:rPr>
            </w:pPr>
            <w:r w:rsidRPr="00062C8D">
              <w:rPr>
                <w:rFonts w:ascii="Times New Roman" w:eastAsia="SimSun" w:hAnsi="Times New Roman"/>
                <w:color w:val="000000"/>
                <w:kern w:val="3"/>
              </w:rPr>
              <w:t xml:space="preserve">- </w:t>
            </w:r>
            <w:r w:rsidRPr="00062C8D">
              <w:rPr>
                <w:rFonts w:ascii="Times New Roman" w:hAnsi="Times New Roman"/>
                <w:color w:val="000000"/>
              </w:rPr>
              <w:t>посвідчення на право керування автомобільними транспортними засобами (на працівника, який буде здійснювати перевезення)  та реєстрацію потужностей оператора ринку на автомобіль;</w:t>
            </w:r>
          </w:p>
          <w:p w:rsidR="00D5739F" w:rsidRPr="00062C8D" w:rsidRDefault="00D5739F" w:rsidP="00151B20">
            <w:pPr>
              <w:pStyle w:val="a6"/>
              <w:spacing w:after="0" w:line="240" w:lineRule="auto"/>
              <w:ind w:left="66" w:firstLine="425"/>
              <w:jc w:val="both"/>
              <w:rPr>
                <w:rFonts w:ascii="Times New Roman" w:eastAsia="SimSun" w:hAnsi="Times New Roman"/>
                <w:color w:val="000000"/>
                <w:kern w:val="3"/>
              </w:rPr>
            </w:pPr>
            <w:r w:rsidRPr="00062C8D">
              <w:rPr>
                <w:rFonts w:ascii="Times New Roman" w:hAnsi="Times New Roman"/>
                <w:color w:val="000000"/>
              </w:rPr>
              <w:t>- -Протокол проведення досліджень шумового навантаження та інфразвуку автомобіля (робоче місце).</w:t>
            </w:r>
          </w:p>
          <w:p w:rsidR="00D5739F" w:rsidRPr="00062C8D" w:rsidRDefault="00D5739F" w:rsidP="00151B20">
            <w:pPr>
              <w:spacing w:after="0" w:line="240" w:lineRule="auto"/>
              <w:ind w:firstLine="491"/>
              <w:jc w:val="both"/>
              <w:rPr>
                <w:rFonts w:ascii="Times New Roman" w:hAnsi="Times New Roman"/>
                <w:color w:val="000000"/>
              </w:rPr>
            </w:pPr>
            <w:r w:rsidRPr="00062C8D">
              <w:rPr>
                <w:rFonts w:ascii="Times New Roman" w:hAnsi="Times New Roman"/>
                <w:color w:val="000000"/>
              </w:rPr>
              <w:t>- документ, що підтверджує проведення санітарної обробки (дезінфекції) автотранспорту(ів)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підтверджує(ють) проведення санітарної обробки (дезінфекції) та дослідження змивів на патогенну та умовно патогенну мікрофлору автотранспорту у 2023р (результати мають підтверджувати відсутність патогенної та умовно патогенної флори).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у  2023 році.</w:t>
            </w:r>
          </w:p>
          <w:p w:rsidR="00D5739F" w:rsidRPr="00062C8D" w:rsidRDefault="00D5739F" w:rsidP="00151B20">
            <w:pPr>
              <w:spacing w:after="0" w:line="240" w:lineRule="auto"/>
              <w:ind w:firstLine="491"/>
              <w:jc w:val="both"/>
              <w:rPr>
                <w:rFonts w:ascii="Times New Roman" w:hAnsi="Times New Roman"/>
                <w:color w:val="000000"/>
              </w:rPr>
            </w:pPr>
          </w:p>
          <w:p w:rsidR="00D5739F" w:rsidRPr="00062C8D" w:rsidRDefault="00D5739F" w:rsidP="00151B20">
            <w:pPr>
              <w:numPr>
                <w:ilvl w:val="1"/>
                <w:numId w:val="14"/>
              </w:numPr>
              <w:spacing w:after="0" w:line="288" w:lineRule="auto"/>
              <w:jc w:val="both"/>
              <w:rPr>
                <w:rFonts w:ascii="Times New Roman" w:hAnsi="Times New Roman"/>
                <w:color w:val="000000"/>
              </w:rPr>
            </w:pPr>
            <w:r w:rsidRPr="00062C8D">
              <w:rPr>
                <w:rFonts w:ascii="Times New Roman" w:hAnsi="Times New Roman"/>
                <w:color w:val="000000"/>
              </w:rPr>
              <w:t xml:space="preserve">Інформація щодо складських/виробничих приміщень. Учасник повинен надати довідку із зазначенням адреси таких приміщень, а також правової підстави користування ними. </w:t>
            </w:r>
          </w:p>
          <w:p w:rsidR="00D5739F" w:rsidRPr="00062C8D" w:rsidRDefault="00D5739F" w:rsidP="00151B20">
            <w:pPr>
              <w:numPr>
                <w:ilvl w:val="0"/>
                <w:numId w:val="13"/>
              </w:numPr>
              <w:spacing w:after="0" w:line="288" w:lineRule="auto"/>
              <w:ind w:left="0" w:firstLine="495"/>
              <w:jc w:val="both"/>
              <w:rPr>
                <w:rFonts w:ascii="Times New Roman" w:hAnsi="Times New Roman"/>
                <w:color w:val="000000"/>
              </w:rPr>
            </w:pPr>
            <w:r w:rsidRPr="00062C8D">
              <w:rPr>
                <w:rFonts w:ascii="Times New Roman" w:hAnsi="Times New Roman"/>
                <w:color w:val="000000"/>
              </w:rPr>
              <w:t>У випадку, якщо такі/таке приміщення не є власним, - надаються документи, які підтверджують право користування приміщеннями.</w:t>
            </w:r>
          </w:p>
          <w:p w:rsidR="00D5739F" w:rsidRPr="00062C8D" w:rsidRDefault="00D5739F" w:rsidP="00151B20">
            <w:pPr>
              <w:numPr>
                <w:ilvl w:val="0"/>
                <w:numId w:val="13"/>
              </w:numPr>
              <w:spacing w:after="0" w:line="288" w:lineRule="auto"/>
              <w:ind w:left="0" w:firstLine="495"/>
              <w:jc w:val="both"/>
              <w:rPr>
                <w:rFonts w:ascii="Times New Roman" w:hAnsi="Times New Roman"/>
                <w:color w:val="000000"/>
              </w:rPr>
            </w:pPr>
            <w:r w:rsidRPr="00062C8D">
              <w:rPr>
                <w:rFonts w:ascii="Times New Roman" w:hAnsi="Times New Roman"/>
                <w:color w:val="000000"/>
              </w:rPr>
              <w:t>У випадку, якщо складські/виробничі приміщення є власними, - надаються документи, які підтверджують право власності.</w:t>
            </w:r>
          </w:p>
          <w:p w:rsidR="00D5739F" w:rsidRPr="00062C8D" w:rsidRDefault="00D5739F" w:rsidP="00151B20">
            <w:pPr>
              <w:numPr>
                <w:ilvl w:val="0"/>
                <w:numId w:val="13"/>
              </w:numPr>
              <w:spacing w:after="0" w:line="240" w:lineRule="auto"/>
              <w:ind w:left="0" w:firstLine="495"/>
              <w:jc w:val="both"/>
              <w:rPr>
                <w:rFonts w:ascii="Times New Roman" w:eastAsia="SimSun" w:hAnsi="Times New Roman"/>
                <w:color w:val="000000"/>
                <w:kern w:val="3"/>
              </w:rPr>
            </w:pPr>
            <w:r w:rsidRPr="00062C8D">
              <w:rPr>
                <w:rFonts w:ascii="Times New Roman" w:hAnsi="Times New Roman"/>
                <w:color w:val="000000"/>
              </w:rPr>
              <w:t xml:space="preserve">У складі тендерної пропозиції учасник повинен надати рішення про державну реєстрацію потужності та/або копію експлуатаційного дозволу на вказані приміщення,  а також документ обстеження/перевірки приміщення(ь) виданого територіальним </w:t>
            </w:r>
            <w:r w:rsidRPr="00062C8D">
              <w:rPr>
                <w:rFonts w:ascii="Times New Roman" w:hAnsi="Times New Roman"/>
                <w:color w:val="000000"/>
              </w:rPr>
              <w:lastRenderedPageBreak/>
              <w:t>управлінням держпродслужби  не раніше 2022 р.</w:t>
            </w:r>
          </w:p>
          <w:p w:rsidR="00D5739F" w:rsidRPr="00062C8D" w:rsidRDefault="00D5739F" w:rsidP="00151B20">
            <w:pPr>
              <w:numPr>
                <w:ilvl w:val="0"/>
                <w:numId w:val="13"/>
              </w:numPr>
              <w:spacing w:after="0" w:line="240" w:lineRule="auto"/>
              <w:ind w:left="0" w:firstLine="495"/>
              <w:jc w:val="both"/>
              <w:rPr>
                <w:rFonts w:ascii="Times New Roman" w:eastAsia="SimSun" w:hAnsi="Times New Roman"/>
                <w:color w:val="000000"/>
                <w:kern w:val="3"/>
              </w:rPr>
            </w:pPr>
            <w:r w:rsidRPr="00062C8D">
              <w:rPr>
                <w:rFonts w:ascii="Times New Roman" w:hAnsi="Times New Roman"/>
                <w:color w:val="000000"/>
              </w:rPr>
              <w:t>документ що підтверджує проведення профілактичної дезінфекції та дератизації приміщень (будівлі) складу (подати в складі пропозиції договір на проведення санітарної обробки  приміщень, та документ (и), який (і) підтверджує (ють) проведення санітарної обробки (дезінфекції та дератизації) у 2023 році.</w:t>
            </w:r>
          </w:p>
        </w:tc>
      </w:tr>
      <w:tr w:rsidR="00D5739F" w:rsidRPr="00062C8D" w:rsidTr="00151B20">
        <w:trPr>
          <w:trHeight w:val="88"/>
        </w:trPr>
        <w:tc>
          <w:tcPr>
            <w:tcW w:w="417" w:type="dxa"/>
            <w:shd w:val="clear" w:color="auto" w:fill="auto"/>
          </w:tcPr>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r w:rsidRPr="00062C8D">
              <w:rPr>
                <w:rFonts w:ascii="Times New Roman" w:eastAsia="Times New Roman" w:hAnsi="Times New Roman"/>
                <w:b/>
                <w:bCs/>
                <w:color w:val="000000"/>
                <w:lang w:eastAsia="ru-RU"/>
              </w:rPr>
              <w:lastRenderedPageBreak/>
              <w:t>2.</w:t>
            </w:r>
          </w:p>
        </w:tc>
        <w:tc>
          <w:tcPr>
            <w:tcW w:w="2232" w:type="dxa"/>
            <w:shd w:val="clear" w:color="auto" w:fill="auto"/>
          </w:tcPr>
          <w:p w:rsidR="00D5739F" w:rsidRPr="00062C8D" w:rsidRDefault="00D5739F" w:rsidP="00151B20">
            <w:pPr>
              <w:tabs>
                <w:tab w:val="left" w:pos="284"/>
              </w:tabs>
              <w:suppressAutoHyphens/>
              <w:spacing w:after="0" w:line="240" w:lineRule="auto"/>
              <w:rPr>
                <w:rFonts w:ascii="Times New Roman" w:hAnsi="Times New Roman"/>
                <w:lang w:eastAsia="zh-CN"/>
              </w:rPr>
            </w:pPr>
            <w:r w:rsidRPr="00062C8D">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D5739F" w:rsidRPr="00062C8D" w:rsidRDefault="00D5739F" w:rsidP="00151B20">
            <w:pPr>
              <w:shd w:val="clear" w:color="auto" w:fill="FFFFFF"/>
              <w:spacing w:after="0" w:line="240" w:lineRule="auto"/>
              <w:jc w:val="both"/>
              <w:rPr>
                <w:rFonts w:ascii="Times New Roman" w:hAnsi="Times New Roman"/>
                <w:color w:val="00000A"/>
                <w:shd w:val="clear" w:color="auto" w:fill="FFFFFF"/>
              </w:rPr>
            </w:pPr>
            <w:r w:rsidRPr="00062C8D">
              <w:t xml:space="preserve"> </w:t>
            </w:r>
            <w:r w:rsidRPr="00062C8D">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062C8D">
              <w:rPr>
                <w:rFonts w:ascii="Times New Roman" w:hAnsi="Times New Roman"/>
                <w:color w:val="000000"/>
              </w:rPr>
              <w:t>(учасник, який здійснює діяльність самостійно (одноособово) – надає довідку відповідного змісту)</w:t>
            </w:r>
            <w:r w:rsidRPr="00062C8D">
              <w:rPr>
                <w:rFonts w:ascii="Times New Roman" w:hAnsi="Times New Roman"/>
                <w:color w:val="00000A"/>
                <w:shd w:val="clear" w:color="auto" w:fill="FFFFFF"/>
              </w:rPr>
              <w:t>.  До довідки додаються:</w:t>
            </w:r>
          </w:p>
          <w:p w:rsidR="00D5739F" w:rsidRPr="00062C8D" w:rsidRDefault="00D5739F" w:rsidP="00151B20">
            <w:pPr>
              <w:spacing w:after="0" w:line="240" w:lineRule="auto"/>
              <w:contextualSpacing/>
              <w:jc w:val="both"/>
              <w:rPr>
                <w:rFonts w:ascii="Times New Roman" w:hAnsi="Times New Roman"/>
              </w:rPr>
            </w:pPr>
            <w:r w:rsidRPr="00062C8D">
              <w:rPr>
                <w:rFonts w:ascii="Times New Roman" w:hAnsi="Times New Roman"/>
                <w:color w:val="000000"/>
              </w:rPr>
              <w:t xml:space="preserve">- </w:t>
            </w:r>
            <w:r w:rsidRPr="00062C8D">
              <w:rPr>
                <w:rFonts w:ascii="Times New Roman" w:hAnsi="Times New Roman"/>
                <w:color w:val="000000"/>
                <w:lang w:eastAsia="ru-RU"/>
              </w:rPr>
              <w:t>копії/й особової медичної книжки (всі сторінки) працівників.</w:t>
            </w:r>
            <w:r w:rsidRPr="00062C8D">
              <w:rPr>
                <w:rFonts w:ascii="Times New Roman" w:hAnsi="Times New Roman"/>
              </w:rPr>
              <w:t xml:space="preserve"> Останній медогляд повинен бути дійсним на момент подання тендерної пропозиції.</w:t>
            </w:r>
          </w:p>
          <w:p w:rsidR="00D5739F" w:rsidRPr="00062C8D" w:rsidRDefault="00D5739F" w:rsidP="00151B20">
            <w:pPr>
              <w:spacing w:after="0" w:line="240" w:lineRule="auto"/>
              <w:contextualSpacing/>
              <w:jc w:val="both"/>
              <w:rPr>
                <w:rFonts w:ascii="Times New Roman" w:hAnsi="Times New Roman"/>
              </w:rPr>
            </w:pPr>
            <w:r w:rsidRPr="00062C8D">
              <w:rPr>
                <w:rFonts w:ascii="Times New Roman" w:hAnsi="Times New Roman"/>
              </w:rPr>
              <w:t>-Копію чинного посвідчення про перевірку знань з охорони праці працівника та протоколу засідання комісії з перевірки знань з питань охорони праці.</w:t>
            </w:r>
          </w:p>
          <w:p w:rsidR="00D5739F" w:rsidRPr="00062C8D" w:rsidRDefault="00D5739F" w:rsidP="00151B20">
            <w:pPr>
              <w:spacing w:after="0" w:line="240" w:lineRule="auto"/>
              <w:contextualSpacing/>
              <w:jc w:val="both"/>
              <w:rPr>
                <w:rFonts w:ascii="Times New Roman" w:hAnsi="Times New Roman"/>
              </w:rPr>
            </w:pPr>
            <w:r w:rsidRPr="00062C8D">
              <w:rPr>
                <w:rFonts w:ascii="Times New Roman" w:hAnsi="Times New Roman"/>
                <w:color w:val="000000"/>
              </w:rPr>
              <w:t>- Обов’язковим є проведення гігієнічного навчання працівників(а) у 2023р, про що надається  підтверджуючий документ, а саме протокол проведення гігієнічного навчання працівників(а.) зазначених у довідці, згідно п. 2.1</w:t>
            </w:r>
          </w:p>
        </w:tc>
      </w:tr>
      <w:tr w:rsidR="00D5739F" w:rsidRPr="00062C8D" w:rsidTr="00151B20">
        <w:trPr>
          <w:trHeight w:val="88"/>
        </w:trPr>
        <w:tc>
          <w:tcPr>
            <w:tcW w:w="417" w:type="dxa"/>
            <w:shd w:val="clear" w:color="auto" w:fill="auto"/>
          </w:tcPr>
          <w:p w:rsidR="00D5739F" w:rsidRPr="00062C8D" w:rsidRDefault="00D5739F" w:rsidP="00151B20">
            <w:pPr>
              <w:tabs>
                <w:tab w:val="left" w:pos="284"/>
              </w:tabs>
              <w:suppressAutoHyphens/>
              <w:spacing w:after="0" w:line="240" w:lineRule="auto"/>
              <w:rPr>
                <w:rFonts w:ascii="Times New Roman" w:eastAsia="Times New Roman" w:hAnsi="Times New Roman"/>
                <w:b/>
                <w:lang w:eastAsia="ru-RU"/>
              </w:rPr>
            </w:pPr>
            <w:r w:rsidRPr="00062C8D">
              <w:rPr>
                <w:rFonts w:ascii="Times New Roman" w:eastAsia="Times New Roman" w:hAnsi="Times New Roman"/>
                <w:b/>
                <w:bCs/>
                <w:color w:val="000000"/>
                <w:lang w:eastAsia="ru-RU"/>
              </w:rPr>
              <w:t>3.</w:t>
            </w:r>
          </w:p>
        </w:tc>
        <w:tc>
          <w:tcPr>
            <w:tcW w:w="2232" w:type="dxa"/>
            <w:shd w:val="clear" w:color="auto" w:fill="auto"/>
          </w:tcPr>
          <w:p w:rsidR="00D5739F" w:rsidRPr="00062C8D" w:rsidRDefault="00D5739F" w:rsidP="00151B20">
            <w:pPr>
              <w:tabs>
                <w:tab w:val="left" w:pos="284"/>
              </w:tabs>
              <w:suppressAutoHyphens/>
              <w:spacing w:after="0" w:line="240" w:lineRule="auto"/>
              <w:rPr>
                <w:rFonts w:ascii="Times New Roman" w:eastAsia="Times New Roman" w:hAnsi="Times New Roman"/>
                <w:lang w:eastAsia="ru-RU"/>
              </w:rPr>
            </w:pPr>
            <w:r w:rsidRPr="00062C8D">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D5739F" w:rsidRPr="00062C8D" w:rsidRDefault="00D5739F" w:rsidP="00151B20">
            <w:pPr>
              <w:suppressAutoHyphens/>
              <w:spacing w:after="0" w:line="240" w:lineRule="auto"/>
              <w:ind w:right="22" w:firstLine="422"/>
              <w:jc w:val="both"/>
              <w:rPr>
                <w:rFonts w:ascii="Times New Roman" w:hAnsi="Times New Roman"/>
              </w:rPr>
            </w:pPr>
            <w:r w:rsidRPr="00062C8D">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D5739F" w:rsidRPr="00062C8D" w:rsidRDefault="00D5739F" w:rsidP="00D5739F">
            <w:pPr>
              <w:suppressAutoHyphens/>
              <w:spacing w:after="0" w:line="240" w:lineRule="auto"/>
              <w:ind w:right="22" w:firstLine="422"/>
              <w:jc w:val="both"/>
              <w:rPr>
                <w:rFonts w:ascii="Times New Roman" w:hAnsi="Times New Roman"/>
                <w:i/>
              </w:rPr>
            </w:pPr>
            <w:r w:rsidRPr="00062C8D">
              <w:rPr>
                <w:rFonts w:ascii="Times New Roman" w:hAnsi="Times New Roman"/>
                <w:i/>
              </w:rPr>
              <w:t>*Аналогічним договором  в розумінні цієї документації є  договір на поставку  товару за аналогічним кодом ДК.</w:t>
            </w:r>
          </w:p>
          <w:p w:rsidR="00D5739F" w:rsidRPr="00062C8D" w:rsidRDefault="00D5739F" w:rsidP="00151B20">
            <w:pPr>
              <w:spacing w:after="0" w:line="240" w:lineRule="auto"/>
              <w:jc w:val="both"/>
              <w:rPr>
                <w:rFonts w:ascii="Times New Roman" w:hAnsi="Times New Roman"/>
              </w:rPr>
            </w:pPr>
          </w:p>
          <w:p w:rsidR="00D5739F" w:rsidRPr="00062C8D" w:rsidRDefault="00D5739F" w:rsidP="00151B20">
            <w:pPr>
              <w:numPr>
                <w:ilvl w:val="0"/>
                <w:numId w:val="1"/>
              </w:numPr>
              <w:suppressAutoHyphens/>
              <w:spacing w:after="160" w:line="252" w:lineRule="auto"/>
              <w:ind w:left="66" w:firstLine="0"/>
              <w:jc w:val="both"/>
              <w:rPr>
                <w:rFonts w:ascii="Times New Roman" w:eastAsia="Times New Roman" w:hAnsi="Times New Roman"/>
                <w:lang w:eastAsia="ru-RU"/>
              </w:rPr>
            </w:pPr>
            <w:r w:rsidRPr="00062C8D">
              <w:rPr>
                <w:rFonts w:ascii="Times New Roman" w:eastAsia="Times New Roman" w:hAnsi="Times New Roman"/>
                <w:lang w:eastAsia="ru-RU"/>
              </w:rPr>
              <w:t>Копія аналогічного договору разом із копіями документів, що підтверджують  факт його виконання;</w:t>
            </w:r>
          </w:p>
          <w:p w:rsidR="00D5739F" w:rsidRPr="00062C8D" w:rsidRDefault="00D5739F" w:rsidP="00151B20">
            <w:pPr>
              <w:numPr>
                <w:ilvl w:val="0"/>
                <w:numId w:val="1"/>
              </w:numPr>
              <w:suppressAutoHyphens/>
              <w:spacing w:after="160" w:line="252" w:lineRule="auto"/>
              <w:ind w:left="0" w:firstLine="0"/>
              <w:jc w:val="both"/>
              <w:rPr>
                <w:rFonts w:ascii="Times New Roman" w:eastAsia="Times New Roman" w:hAnsi="Times New Roman"/>
                <w:lang w:eastAsia="ru-RU"/>
              </w:rPr>
            </w:pPr>
            <w:r w:rsidRPr="00062C8D">
              <w:rPr>
                <w:rFonts w:ascii="Times New Roman" w:hAnsi="Times New Roman"/>
                <w:bCs/>
              </w:rPr>
              <w:t xml:space="preserve">Оригінал/-и позитивних листів – відгуків про успішне виконання договору/-ів, вказаних у довідці. </w:t>
            </w:r>
          </w:p>
        </w:tc>
      </w:tr>
    </w:tbl>
    <w:p w:rsidR="00D5739F" w:rsidRPr="00062C8D" w:rsidRDefault="00D5739F" w:rsidP="00D5739F">
      <w:pPr>
        <w:spacing w:after="0" w:line="240" w:lineRule="auto"/>
        <w:rPr>
          <w:rFonts w:ascii="Times New Roman" w:eastAsia="Times New Roman" w:hAnsi="Times New Roman"/>
          <w:i/>
          <w:color w:val="000000"/>
          <w:lang w:eastAsia="ru-RU"/>
        </w:rPr>
      </w:pPr>
    </w:p>
    <w:p w:rsidR="006F19B3" w:rsidRPr="00062C8D" w:rsidRDefault="006F19B3" w:rsidP="00733D1F">
      <w:pPr>
        <w:spacing w:after="0" w:line="240" w:lineRule="auto"/>
        <w:rPr>
          <w:rFonts w:ascii="Times New Roman" w:eastAsia="Times New Roman" w:hAnsi="Times New Roman" w:cs="Times New Roman"/>
          <w:b/>
          <w:bCs/>
          <w:lang w:eastAsia="ru-RU"/>
        </w:rPr>
      </w:pPr>
    </w:p>
    <w:p w:rsidR="0010524F" w:rsidRPr="00062C8D" w:rsidRDefault="0010524F" w:rsidP="000247E2">
      <w:pPr>
        <w:spacing w:after="0" w:line="240" w:lineRule="auto"/>
        <w:rPr>
          <w:rFonts w:ascii="Times New Roman" w:eastAsia="Times New Roman" w:hAnsi="Times New Roman" w:cs="Times New Roman"/>
          <w:i/>
          <w:color w:val="000000"/>
          <w:lang w:eastAsia="ru-RU"/>
        </w:rPr>
      </w:pPr>
    </w:p>
    <w:p w:rsidR="0010524F" w:rsidRPr="00062C8D" w:rsidRDefault="0010524F" w:rsidP="000247E2">
      <w:pPr>
        <w:pStyle w:val="Default"/>
        <w:jc w:val="center"/>
        <w:rPr>
          <w:rFonts w:eastAsia="Times New Roman"/>
          <w:b/>
          <w:sz w:val="22"/>
          <w:szCs w:val="22"/>
          <w:lang w:eastAsia="ru-RU"/>
        </w:rPr>
      </w:pPr>
      <w:r w:rsidRPr="00062C8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062C8D" w:rsidRDefault="0010524F" w:rsidP="000247E2">
      <w:pPr>
        <w:spacing w:after="0" w:line="240" w:lineRule="auto"/>
        <w:rPr>
          <w:rFonts w:ascii="Times New Roman" w:eastAsia="Times New Roman" w:hAnsi="Times New Roman" w:cs="Times New Roman"/>
          <w:b/>
          <w:color w:val="000000"/>
          <w:lang w:eastAsia="ru-RU"/>
        </w:rPr>
      </w:pPr>
    </w:p>
    <w:p w:rsidR="0010524F" w:rsidRPr="00062C8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062C8D" w:rsidTr="009B49A6">
        <w:tc>
          <w:tcPr>
            <w:tcW w:w="10348"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pStyle w:val="rvps2"/>
              <w:spacing w:before="0" w:beforeAutospacing="0" w:after="150" w:afterAutospacing="0"/>
              <w:ind w:firstLine="450"/>
              <w:jc w:val="both"/>
              <w:rPr>
                <w:sz w:val="22"/>
                <w:szCs w:val="22"/>
              </w:rPr>
            </w:pPr>
          </w:p>
          <w:p w:rsidR="00AD574B" w:rsidRPr="00062C8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rPr>
              <w:t xml:space="preserve">1. </w:t>
            </w:r>
            <w:r w:rsidR="00AD574B" w:rsidRPr="00062C8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62C8D">
              <w:rPr>
                <w:rFonts w:ascii="Times New Roman" w:hAnsi="Times New Roman" w:cs="Times New Roman"/>
                <w:b/>
                <w:color w:val="000000" w:themeColor="text1"/>
                <w:shd w:val="solid" w:color="FFFFFF" w:fill="FFFFFF"/>
                <w:lang w:eastAsia="en-US"/>
              </w:rPr>
              <w:t>в електронній системі закупівель</w:t>
            </w:r>
            <w:r w:rsidR="00AD574B" w:rsidRPr="00062C8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Pr="00062C8D"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 xml:space="preserve">1) замовник має незаперечні докази того, що учасник процедури закупівлі пропонує, дає або </w:t>
            </w:r>
            <w:r w:rsidRPr="00062C8D">
              <w:rPr>
                <w:rFonts w:ascii="Times New Roman" w:hAnsi="Times New Roman" w:cs="Times New Roman"/>
                <w:color w:val="000000" w:themeColor="text1"/>
                <w:shd w:val="solid" w:color="FFFFFF" w:fill="FFFFFF"/>
                <w:lang w:eastAsia="en-US"/>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1704B"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Pr="00062C8D"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62C8D">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062C8D"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062C8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062C8D" w:rsidRDefault="009B49A6" w:rsidP="000247E2">
            <w:pPr>
              <w:pStyle w:val="rvps2"/>
              <w:spacing w:before="0" w:beforeAutospacing="0" w:after="150" w:afterAutospacing="0"/>
              <w:ind w:firstLine="450"/>
              <w:jc w:val="both"/>
              <w:rPr>
                <w:sz w:val="22"/>
                <w:szCs w:val="22"/>
              </w:rPr>
            </w:pPr>
            <w:r w:rsidRPr="00062C8D">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062C8D">
                <w:rPr>
                  <w:rStyle w:val="a5"/>
                  <w:sz w:val="22"/>
                  <w:szCs w:val="22"/>
                </w:rPr>
                <w:t>Законом України</w:t>
              </w:r>
            </w:hyperlink>
            <w:r w:rsidRPr="00062C8D">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062C8D" w:rsidRDefault="009B49A6" w:rsidP="000247E2">
            <w:pPr>
              <w:pStyle w:val="rvps2"/>
              <w:spacing w:before="0" w:beforeAutospacing="0" w:after="150" w:afterAutospacing="0"/>
              <w:ind w:firstLine="450"/>
              <w:jc w:val="both"/>
              <w:rPr>
                <w:sz w:val="22"/>
                <w:szCs w:val="22"/>
              </w:rPr>
            </w:pPr>
          </w:p>
        </w:tc>
      </w:tr>
      <w:tr w:rsidR="009B49A6" w:rsidRPr="00062C8D" w:rsidTr="009B49A6">
        <w:tc>
          <w:tcPr>
            <w:tcW w:w="10348" w:type="dxa"/>
            <w:tcBorders>
              <w:top w:val="single" w:sz="6" w:space="0" w:color="auto"/>
              <w:left w:val="single" w:sz="6" w:space="0" w:color="auto"/>
              <w:bottom w:val="single" w:sz="6" w:space="0" w:color="auto"/>
              <w:right w:val="single" w:sz="6" w:space="0" w:color="auto"/>
            </w:tcBorders>
          </w:tcPr>
          <w:p w:rsidR="009B49A6" w:rsidRPr="00062C8D" w:rsidRDefault="009B49A6" w:rsidP="00F57160">
            <w:pPr>
              <w:pStyle w:val="rvps2"/>
              <w:spacing w:after="150"/>
              <w:ind w:firstLine="450"/>
              <w:jc w:val="both"/>
              <w:rPr>
                <w:sz w:val="22"/>
                <w:szCs w:val="22"/>
              </w:rPr>
            </w:pPr>
            <w:r w:rsidRPr="00062C8D">
              <w:rPr>
                <w:sz w:val="22"/>
                <w:szCs w:val="22"/>
              </w:rPr>
              <w:t xml:space="preserve">3. Замовник </w:t>
            </w:r>
            <w:r w:rsidRPr="00062C8D">
              <w:rPr>
                <w:b/>
                <w:sz w:val="22"/>
                <w:szCs w:val="22"/>
              </w:rPr>
              <w:t xml:space="preserve">може </w:t>
            </w:r>
            <w:r w:rsidRPr="00062C8D">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062C8D" w:rsidRDefault="00F57160" w:rsidP="00F57160">
            <w:pPr>
              <w:pStyle w:val="rvps2"/>
              <w:spacing w:after="150"/>
              <w:ind w:firstLine="450"/>
              <w:jc w:val="both"/>
              <w:rPr>
                <w:sz w:val="22"/>
                <w:szCs w:val="22"/>
              </w:rPr>
            </w:pPr>
          </w:p>
        </w:tc>
      </w:tr>
      <w:tr w:rsidR="009B49A6" w:rsidRPr="00062C8D" w:rsidTr="009B49A6">
        <w:tc>
          <w:tcPr>
            <w:tcW w:w="10348" w:type="dxa"/>
            <w:tcBorders>
              <w:top w:val="single" w:sz="6" w:space="0" w:color="auto"/>
              <w:left w:val="single" w:sz="6" w:space="0" w:color="auto"/>
              <w:bottom w:val="single" w:sz="6" w:space="0" w:color="auto"/>
              <w:right w:val="single" w:sz="6" w:space="0" w:color="auto"/>
            </w:tcBorders>
          </w:tcPr>
          <w:p w:rsidR="009B49A6" w:rsidRPr="00062C8D" w:rsidRDefault="009B49A6" w:rsidP="000247E2">
            <w:pPr>
              <w:pStyle w:val="rvps2"/>
              <w:spacing w:before="0" w:beforeAutospacing="0" w:after="150" w:afterAutospacing="0"/>
              <w:ind w:firstLine="450"/>
              <w:jc w:val="both"/>
              <w:rPr>
                <w:sz w:val="22"/>
                <w:szCs w:val="22"/>
              </w:rPr>
            </w:pPr>
            <w:r w:rsidRPr="00062C8D">
              <w:rPr>
                <w:sz w:val="22"/>
                <w:szCs w:val="22"/>
              </w:rPr>
              <w:lastRenderedPageBreak/>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9B49A6" w:rsidRPr="00062C8D"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Pr="00062C8D"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062C8D" w:rsidRDefault="0010524F" w:rsidP="000247E2">
      <w:pPr>
        <w:spacing w:after="0" w:line="240" w:lineRule="auto"/>
        <w:jc w:val="center"/>
        <w:rPr>
          <w:rFonts w:ascii="Times New Roman" w:hAnsi="Times New Roman" w:cs="Times New Roman"/>
          <w:b/>
          <w:u w:val="single"/>
          <w:lang w:eastAsia="ru-RU"/>
        </w:rPr>
      </w:pPr>
      <w:r w:rsidRPr="00062C8D">
        <w:rPr>
          <w:rFonts w:ascii="Times New Roman" w:eastAsia="Times New Roman" w:hAnsi="Times New Roman" w:cs="Times New Roman"/>
          <w:b/>
          <w:color w:val="000000"/>
          <w:u w:val="single"/>
          <w:lang w:eastAsia="ru-RU"/>
        </w:rPr>
        <w:br w:type="page"/>
      </w:r>
      <w:r w:rsidRPr="00062C8D">
        <w:rPr>
          <w:rFonts w:ascii="Times New Roman" w:hAnsi="Times New Roman" w:cs="Times New Roman"/>
        </w:rPr>
        <w:lastRenderedPageBreak/>
        <w:t xml:space="preserve"> </w:t>
      </w:r>
      <w:r w:rsidRPr="00062C8D">
        <w:rPr>
          <w:rFonts w:ascii="Times New Roman" w:hAnsi="Times New Roman" w:cs="Times New Roman"/>
          <w:b/>
          <w:u w:val="single"/>
          <w:lang w:eastAsia="ru-RU"/>
        </w:rPr>
        <w:t xml:space="preserve">Таблиця 3. </w:t>
      </w:r>
    </w:p>
    <w:p w:rsidR="0010524F" w:rsidRPr="00062C8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062C8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062C8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062C8D">
        <w:rPr>
          <w:rFonts w:ascii="Times New Roman" w:hAnsi="Times New Roman" w:cs="Times New Roman"/>
          <w:b/>
          <w:bCs/>
          <w:color w:val="000000" w:themeColor="text1"/>
          <w:shd w:val="solid" w:color="FFFFFF" w:fill="FFFFFF"/>
          <w:lang w:eastAsia="en-US"/>
        </w:rPr>
        <w:t>чотири дні</w:t>
      </w:r>
      <w:r w:rsidRPr="00062C8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062C8D">
        <w:rPr>
          <w:rFonts w:ascii="Times New Roman" w:hAnsi="Times New Roman" w:cs="Times New Roman"/>
          <w:b/>
          <w:color w:val="000000" w:themeColor="text1"/>
          <w:shd w:val="solid" w:color="FFFFFF" w:fill="FFFFFF"/>
          <w:lang w:eastAsia="en-US"/>
        </w:rPr>
        <w:t>3, 5, 6, 12</w:t>
      </w:r>
      <w:r w:rsidRPr="00062C8D">
        <w:rPr>
          <w:rFonts w:ascii="Times New Roman" w:hAnsi="Times New Roman" w:cs="Times New Roman"/>
          <w:color w:val="000000" w:themeColor="text1"/>
          <w:shd w:val="solid" w:color="FFFFFF" w:fill="FFFFFF"/>
          <w:lang w:eastAsia="en-US"/>
        </w:rPr>
        <w:t xml:space="preserve"> </w:t>
      </w:r>
      <w:r w:rsidRPr="00062C8D">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062C8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062C8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062C8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062C8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062C8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spacing w:after="0" w:line="240" w:lineRule="atLeast"/>
              <w:jc w:val="both"/>
              <w:rPr>
                <w:rFonts w:ascii="Times New Roman" w:eastAsia="Times New Roman" w:hAnsi="Times New Roman" w:cs="Times New Roman"/>
                <w:b/>
                <w:kern w:val="2"/>
                <w:lang w:eastAsia="ar-SA"/>
              </w:rPr>
            </w:pPr>
          </w:p>
          <w:p w:rsidR="0010524F" w:rsidRPr="00062C8D" w:rsidRDefault="0010524F" w:rsidP="000247E2">
            <w:pPr>
              <w:spacing w:after="0" w:line="240" w:lineRule="atLeast"/>
              <w:jc w:val="both"/>
              <w:rPr>
                <w:rFonts w:ascii="Times New Roman" w:eastAsia="Times New Roman" w:hAnsi="Times New Roman" w:cs="Times New Roman"/>
                <w:lang w:val="ru-RU" w:eastAsia="ru-RU"/>
              </w:rPr>
            </w:pPr>
            <w:r w:rsidRPr="00062C8D">
              <w:rPr>
                <w:rFonts w:ascii="Times New Roman" w:eastAsia="Times New Roman" w:hAnsi="Times New Roman" w:cs="Times New Roman"/>
                <w:b/>
                <w:kern w:val="2"/>
                <w:lang w:eastAsia="ar-SA"/>
              </w:rPr>
              <w:t xml:space="preserve">Спосіб надання </w:t>
            </w:r>
            <w:r w:rsidRPr="00062C8D">
              <w:rPr>
                <w:rFonts w:ascii="Times New Roman" w:eastAsia="Times New Roman" w:hAnsi="Times New Roman" w:cs="Times New Roman"/>
                <w:b/>
                <w:kern w:val="2"/>
                <w:u w:val="single"/>
                <w:lang w:eastAsia="ar-SA"/>
              </w:rPr>
              <w:t>учасником-переможцем</w:t>
            </w:r>
            <w:r w:rsidRPr="00062C8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spacing w:after="0" w:line="240" w:lineRule="auto"/>
              <w:rPr>
                <w:rFonts w:ascii="Times New Roman" w:eastAsia="Times New Roman" w:hAnsi="Times New Roman" w:cs="Times New Roman"/>
                <w:b/>
                <w:lang w:val="ru-RU" w:eastAsia="ru-RU"/>
              </w:rPr>
            </w:pPr>
            <w:r w:rsidRPr="00062C8D">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hAnsi="Times New Roman" w:cs="Times New Roman"/>
                <w:b/>
                <w:lang w:eastAsia="ru-RU"/>
              </w:rPr>
            </w:pPr>
            <w:r w:rsidRPr="00062C8D">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або</w:t>
            </w:r>
          </w:p>
          <w:p w:rsidR="0010524F" w:rsidRPr="00062C8D" w:rsidRDefault="0010524F"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eastAsia="Times New Roman" w:hAnsi="Times New Roman" w:cs="Times New Roman"/>
                <w:b/>
                <w:lang w:eastAsia="ru-RU"/>
              </w:rPr>
            </w:pPr>
            <w:r w:rsidRPr="00062C8D">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tabs>
                <w:tab w:val="num" w:pos="360"/>
              </w:tabs>
              <w:spacing w:after="0" w:line="240" w:lineRule="auto"/>
              <w:jc w:val="both"/>
              <w:rPr>
                <w:rFonts w:ascii="Times New Roman" w:eastAsia="Times New Roman" w:hAnsi="Times New Roman" w:cs="Times New Roman"/>
                <w:b/>
                <w:lang w:eastAsia="ru-RU"/>
              </w:rPr>
            </w:pPr>
            <w:r w:rsidRPr="00062C8D">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або</w:t>
            </w:r>
          </w:p>
          <w:p w:rsidR="0010524F" w:rsidRPr="00062C8D" w:rsidRDefault="009B49A6"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062C8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062C8D">
              <w:rPr>
                <w:rFonts w:ascii="Times New Roman" w:hAnsi="Times New Roman" w:cs="Times New Roman"/>
                <w:b/>
                <w:lang w:val="ru-RU" w:eastAsia="ru-RU"/>
              </w:rPr>
              <w:t xml:space="preserve"> (підставазгідно п. 5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spacing w:after="0" w:line="240" w:lineRule="auto"/>
              <w:jc w:val="both"/>
              <w:rPr>
                <w:rFonts w:ascii="Times New Roman" w:hAnsi="Times New Roman" w:cs="Times New Roman"/>
                <w:lang w:val="ru-RU" w:eastAsia="ru-RU"/>
              </w:rPr>
            </w:pPr>
            <w:r w:rsidRPr="00062C8D">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w:t>
            </w:r>
            <w:r w:rsidRPr="00062C8D">
              <w:rPr>
                <w:rFonts w:ascii="Times New Roman" w:hAnsi="Times New Roman" w:cs="Times New Roman"/>
                <w:lang w:val="ru-RU" w:eastAsia="ru-RU"/>
              </w:rPr>
              <w:lastRenderedPageBreak/>
              <w:t>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062C8D">
              <w:rPr>
                <w:rFonts w:ascii="Times New Roman" w:hAnsi="Times New Roman" w:cs="Times New Roman"/>
                <w:b/>
                <w:lang w:val="ru-RU" w:eastAsia="ru-RU"/>
              </w:rPr>
              <w:t>(підставазгідно п. 6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spacing w:after="0" w:line="240" w:lineRule="auto"/>
              <w:jc w:val="both"/>
              <w:rPr>
                <w:rFonts w:ascii="Times New Roman" w:hAnsi="Times New Roman" w:cs="Times New Roman"/>
                <w:lang w:val="ru-RU" w:eastAsia="ru-RU"/>
              </w:rPr>
            </w:pPr>
            <w:r w:rsidRPr="00062C8D">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eastAsia="Times New Roman" w:hAnsi="Times New Roman" w:cs="Times New Roman"/>
                <w:b/>
                <w:lang w:eastAsia="ru-RU"/>
              </w:rPr>
            </w:pPr>
            <w:r w:rsidRPr="00062C8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062C8D" w:rsidRDefault="00C7684A"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або</w:t>
            </w:r>
          </w:p>
          <w:p w:rsidR="0010524F" w:rsidRPr="00062C8D" w:rsidRDefault="0010524F" w:rsidP="000247E2">
            <w:pPr>
              <w:spacing w:after="0" w:line="240" w:lineRule="auto"/>
              <w:jc w:val="both"/>
              <w:rPr>
                <w:rFonts w:ascii="Times New Roman" w:hAnsi="Times New Roman" w:cs="Times New Roman"/>
                <w:lang w:eastAsia="ru-RU"/>
              </w:rPr>
            </w:pPr>
            <w:r w:rsidRPr="00062C8D">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tabs>
                <w:tab w:val="num" w:pos="360"/>
              </w:tabs>
              <w:spacing w:after="0" w:line="240" w:lineRule="auto"/>
              <w:jc w:val="both"/>
              <w:rPr>
                <w:rFonts w:ascii="Times New Roman" w:hAnsi="Times New Roman" w:cs="Times New Roman"/>
                <w:b/>
                <w:lang w:val="ru-RU" w:eastAsia="ru-RU"/>
              </w:rPr>
            </w:pPr>
            <w:r w:rsidRPr="00062C8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062C8D" w:rsidRDefault="0010524F" w:rsidP="000247E2">
            <w:pPr>
              <w:pStyle w:val="rvps2"/>
              <w:spacing w:before="0" w:beforeAutospacing="0" w:after="0" w:afterAutospacing="0"/>
              <w:jc w:val="both"/>
              <w:rPr>
                <w:sz w:val="22"/>
                <w:szCs w:val="22"/>
                <w:lang w:val="ru-RU" w:eastAsia="ru-RU"/>
              </w:rPr>
            </w:pPr>
            <w:r w:rsidRPr="00062C8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062C8D" w:rsidTr="008B5C86">
        <w:tc>
          <w:tcPr>
            <w:tcW w:w="567" w:type="dxa"/>
            <w:tcBorders>
              <w:top w:val="single" w:sz="6" w:space="0" w:color="auto"/>
              <w:left w:val="single" w:sz="6" w:space="0" w:color="auto"/>
              <w:bottom w:val="single" w:sz="6" w:space="0" w:color="auto"/>
              <w:right w:val="single" w:sz="6" w:space="0" w:color="auto"/>
            </w:tcBorders>
          </w:tcPr>
          <w:p w:rsidR="0010524F" w:rsidRPr="00062C8D" w:rsidRDefault="009B49A6" w:rsidP="000247E2">
            <w:pPr>
              <w:spacing w:after="150" w:line="240" w:lineRule="auto"/>
              <w:jc w:val="both"/>
              <w:rPr>
                <w:rFonts w:ascii="Times New Roman" w:hAnsi="Times New Roman" w:cs="Times New Roman"/>
                <w:b/>
                <w:lang w:val="ru-RU" w:eastAsia="ru-RU"/>
              </w:rPr>
            </w:pPr>
            <w:r w:rsidRPr="00062C8D">
              <w:rPr>
                <w:rFonts w:ascii="Times New Roman" w:hAnsi="Times New Roman" w:cs="Times New Roman"/>
                <w:b/>
                <w:lang w:val="ru-RU" w:eastAsia="ru-RU"/>
              </w:rPr>
              <w:t>7</w:t>
            </w:r>
            <w:r w:rsidR="0010524F" w:rsidRPr="00062C8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062C8D" w:rsidRDefault="0010524F" w:rsidP="000247E2">
            <w:pPr>
              <w:spacing w:after="150" w:line="240" w:lineRule="auto"/>
              <w:jc w:val="both"/>
              <w:rPr>
                <w:rFonts w:ascii="Times New Roman" w:eastAsia="Times New Roman" w:hAnsi="Times New Roman" w:cs="Times New Roman"/>
                <w:b/>
                <w:color w:val="000000"/>
              </w:rPr>
            </w:pPr>
            <w:r w:rsidRPr="00062C8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062C8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62C8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062C8D" w:rsidRDefault="00531A4D" w:rsidP="000247E2">
            <w:pPr>
              <w:pStyle w:val="rvps2"/>
              <w:spacing w:before="0" w:beforeAutospacing="0" w:after="0" w:afterAutospacing="0"/>
              <w:jc w:val="both"/>
              <w:rPr>
                <w:color w:val="000000"/>
                <w:sz w:val="22"/>
                <w:szCs w:val="22"/>
              </w:rPr>
            </w:pPr>
            <w:r w:rsidRPr="00062C8D">
              <w:rPr>
                <w:color w:val="000000"/>
                <w:sz w:val="22"/>
                <w:szCs w:val="22"/>
              </w:rPr>
              <w:lastRenderedPageBreak/>
              <w:t>Д</w:t>
            </w:r>
            <w:r w:rsidR="0010524F" w:rsidRPr="00062C8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062C8D" w:rsidRDefault="0010524F" w:rsidP="000247E2">
            <w:pPr>
              <w:spacing w:after="0" w:line="240" w:lineRule="auto"/>
              <w:jc w:val="both"/>
              <w:rPr>
                <w:rFonts w:ascii="Times New Roman" w:hAnsi="Times New Roman" w:cs="Times New Roman"/>
                <w:lang w:eastAsia="ru-RU"/>
              </w:rPr>
            </w:pPr>
          </w:p>
        </w:tc>
      </w:tr>
    </w:tbl>
    <w:p w:rsidR="0010524F" w:rsidRPr="00062C8D" w:rsidRDefault="0010524F" w:rsidP="000247E2">
      <w:pPr>
        <w:pStyle w:val="Default"/>
        <w:jc w:val="center"/>
        <w:rPr>
          <w:rFonts w:eastAsia="Times New Roman"/>
          <w:b/>
          <w:sz w:val="22"/>
          <w:szCs w:val="22"/>
          <w:lang w:eastAsia="ru-RU"/>
        </w:rPr>
      </w:pPr>
    </w:p>
    <w:p w:rsidR="0010524F" w:rsidRPr="00062C8D" w:rsidRDefault="0010524F" w:rsidP="000247E2">
      <w:pPr>
        <w:pStyle w:val="Default"/>
        <w:jc w:val="center"/>
        <w:rPr>
          <w:rFonts w:eastAsia="Times New Roman"/>
          <w:b/>
          <w:sz w:val="22"/>
          <w:szCs w:val="22"/>
          <w:lang w:eastAsia="ru-RU"/>
        </w:rPr>
      </w:pPr>
    </w:p>
    <w:p w:rsidR="0010524F" w:rsidRPr="00062C8D" w:rsidRDefault="0010524F" w:rsidP="000247E2">
      <w:pPr>
        <w:pStyle w:val="Default"/>
        <w:jc w:val="both"/>
      </w:pPr>
      <w:r w:rsidRPr="00062C8D">
        <w:rPr>
          <w:sz w:val="22"/>
          <w:szCs w:val="22"/>
        </w:rPr>
        <w:t>*</w:t>
      </w:r>
      <w:r w:rsidRPr="00062C8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062C8D" w:rsidRDefault="002A735D" w:rsidP="000247E2">
      <w:pPr>
        <w:spacing w:line="240" w:lineRule="auto"/>
        <w:jc w:val="both"/>
        <w:rPr>
          <w:rFonts w:ascii="Times New Roman" w:hAnsi="Times New Roman" w:cs="Times New Roman"/>
        </w:rPr>
      </w:pPr>
      <w:r w:rsidRPr="00062C8D">
        <w:rPr>
          <w:rFonts w:ascii="Times New Roman" w:hAnsi="Times New Roman" w:cs="Times New Roman"/>
        </w:rPr>
        <w:t xml:space="preserve">У </w:t>
      </w:r>
      <w:r w:rsidR="0010524F" w:rsidRPr="00062C8D">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9" w:tgtFrame="_blank" w:history="1">
        <w:r w:rsidR="0010524F" w:rsidRPr="00062C8D">
          <w:rPr>
            <w:rFonts w:ascii="Times New Roman" w:hAnsi="Times New Roman" w:cs="Times New Roman"/>
          </w:rPr>
          <w:t>за посиланням</w:t>
        </w:r>
      </w:hyperlink>
      <w:r w:rsidR="0010524F" w:rsidRPr="00062C8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062C8D" w:rsidRDefault="0010524F" w:rsidP="000247E2">
      <w:pPr>
        <w:spacing w:line="240" w:lineRule="auto"/>
        <w:jc w:val="both"/>
        <w:rPr>
          <w:rFonts w:ascii="Times New Roman" w:hAnsi="Times New Roman" w:cs="Times New Roman"/>
        </w:rPr>
      </w:pPr>
      <w:r w:rsidRPr="00062C8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062C8D" w:rsidRDefault="0010524F" w:rsidP="000247E2">
      <w:pPr>
        <w:spacing w:line="240" w:lineRule="auto"/>
        <w:jc w:val="both"/>
        <w:rPr>
          <w:rFonts w:ascii="Times New Roman" w:hAnsi="Times New Roman" w:cs="Times New Roman"/>
        </w:rPr>
      </w:pPr>
      <w:r w:rsidRPr="00062C8D">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062C8D">
        <w:rPr>
          <w:rFonts w:ascii="Times New Roman" w:hAnsi="Times New Roman" w:cs="Times New Roman"/>
        </w:rPr>
        <w:t>влі, передбачених пунктами 2</w:t>
      </w:r>
      <w:r w:rsidR="00F57160" w:rsidRPr="00062C8D">
        <w:rPr>
          <w:rFonts w:ascii="Times New Roman" w:hAnsi="Times New Roman" w:cs="Times New Roman"/>
        </w:rPr>
        <w:t>,3</w:t>
      </w:r>
      <w:r w:rsidR="00097D0F" w:rsidRPr="00062C8D">
        <w:rPr>
          <w:rFonts w:ascii="Times New Roman" w:hAnsi="Times New Roman" w:cs="Times New Roman"/>
        </w:rPr>
        <w:t xml:space="preserve"> </w:t>
      </w:r>
      <w:r w:rsidR="00C7684A" w:rsidRPr="00062C8D">
        <w:rPr>
          <w:rFonts w:ascii="Times New Roman" w:hAnsi="Times New Roman" w:cs="Times New Roman"/>
        </w:rPr>
        <w:t xml:space="preserve">та  </w:t>
      </w:r>
      <w:r w:rsidR="00097D0F" w:rsidRPr="00062C8D">
        <w:rPr>
          <w:rFonts w:ascii="Times New Roman" w:hAnsi="Times New Roman" w:cs="Times New Roman"/>
        </w:rPr>
        <w:t xml:space="preserve">8 </w:t>
      </w:r>
      <w:r w:rsidRPr="00062C8D">
        <w:rPr>
          <w:rFonts w:ascii="Times New Roman" w:hAnsi="Times New Roman" w:cs="Times New Roman"/>
        </w:rPr>
        <w:t>частини 1 статті 17 Закону.</w:t>
      </w:r>
    </w:p>
    <w:p w:rsidR="0010524F" w:rsidRPr="00062C8D" w:rsidRDefault="0010524F" w:rsidP="000247E2">
      <w:pPr>
        <w:pStyle w:val="rvps2"/>
        <w:spacing w:beforeAutospacing="0" w:afterAutospacing="0"/>
        <w:jc w:val="both"/>
        <w:rPr>
          <w:color w:val="000000"/>
          <w:sz w:val="22"/>
          <w:szCs w:val="22"/>
        </w:rPr>
      </w:pPr>
      <w:r w:rsidRPr="00062C8D">
        <w:rPr>
          <w:color w:val="000000"/>
          <w:sz w:val="22"/>
          <w:szCs w:val="22"/>
        </w:rPr>
        <w:t>У разі відновлення роботи сайтів:</w:t>
      </w:r>
    </w:p>
    <w:p w:rsidR="0010524F" w:rsidRPr="00062C8D"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062C8D">
        <w:rPr>
          <w:color w:val="000000"/>
          <w:sz w:val="22"/>
          <w:szCs w:val="22"/>
        </w:rPr>
        <w:t xml:space="preserve">з Єдиного державного реєстру </w:t>
      </w:r>
      <w:hyperlink r:id="rId10" w:history="1">
        <w:r w:rsidRPr="00062C8D">
          <w:rPr>
            <w:color w:val="000000"/>
            <w:sz w:val="22"/>
            <w:szCs w:val="22"/>
          </w:rPr>
          <w:t>осіб, які вчинили корупційні або пов’язані з корупцією правопорушення</w:t>
        </w:r>
      </w:hyperlink>
      <w:r w:rsidRPr="00062C8D">
        <w:rPr>
          <w:color w:val="000000"/>
          <w:sz w:val="22"/>
          <w:szCs w:val="22"/>
        </w:rPr>
        <w:t xml:space="preserve"> на веб-сайті: https://corruptinfo.nazk.gov.ua. </w:t>
      </w:r>
    </w:p>
    <w:p w:rsidR="0010524F" w:rsidRPr="00062C8D"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062C8D">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062C8D">
          <w:rPr>
            <w:color w:val="000000"/>
            <w:sz w:val="22"/>
            <w:szCs w:val="22"/>
          </w:rPr>
          <w:t>https://kap.minjust.gov.ua/</w:t>
        </w:r>
      </w:hyperlink>
      <w:r w:rsidRPr="00062C8D">
        <w:rPr>
          <w:color w:val="000000"/>
          <w:sz w:val="22"/>
          <w:szCs w:val="22"/>
        </w:rPr>
        <w:t xml:space="preserve">, </w:t>
      </w:r>
      <w:r w:rsidRPr="00062C8D">
        <w:rPr>
          <w:color w:val="000000"/>
          <w:sz w:val="22"/>
          <w:szCs w:val="22"/>
          <w:u w:val="single"/>
        </w:rPr>
        <w:t>Замовник самостійно перевірятиме згадану  інформацію.</w:t>
      </w:r>
    </w:p>
    <w:p w:rsidR="0010524F" w:rsidRPr="00062C8D" w:rsidRDefault="0010524F" w:rsidP="000247E2">
      <w:pPr>
        <w:pStyle w:val="a8"/>
        <w:jc w:val="both"/>
        <w:rPr>
          <w:color w:val="000000"/>
          <w:sz w:val="22"/>
          <w:szCs w:val="22"/>
          <w:lang w:val="uk-UA" w:eastAsia="uk-UA"/>
        </w:rPr>
      </w:pPr>
    </w:p>
    <w:p w:rsidR="0010524F" w:rsidRPr="00062C8D" w:rsidRDefault="0010524F" w:rsidP="000247E2">
      <w:pPr>
        <w:spacing w:line="240" w:lineRule="auto"/>
        <w:jc w:val="both"/>
        <w:rPr>
          <w:rFonts w:ascii="Times New Roman" w:hAnsi="Times New Roman" w:cs="Times New Roman"/>
          <w:lang w:eastAsia="ar-SA"/>
        </w:rPr>
      </w:pPr>
      <w:r w:rsidRPr="00062C8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062C8D" w:rsidRDefault="0010524F" w:rsidP="000247E2">
      <w:pPr>
        <w:widowControl w:val="0"/>
        <w:spacing w:after="0" w:line="240" w:lineRule="auto"/>
        <w:ind w:right="113" w:firstLine="567"/>
        <w:contextualSpacing/>
        <w:jc w:val="both"/>
        <w:rPr>
          <w:rFonts w:ascii="Times New Roman" w:hAnsi="Times New Roman" w:cs="Times New Roman"/>
          <w:b/>
        </w:rPr>
      </w:pPr>
      <w:r w:rsidRPr="00062C8D">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062C8D">
        <w:rPr>
          <w:rFonts w:ascii="Times New Roman" w:hAnsi="Times New Roman" w:cs="Times New Roman"/>
          <w:lang w:eastAsia="ar-SA"/>
        </w:rPr>
        <w:t>лист-пояснення</w:t>
      </w:r>
      <w:r w:rsidRPr="00062C8D">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062C8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Pr="00062C8D" w:rsidRDefault="006F19B3" w:rsidP="000247E2">
      <w:pPr>
        <w:rPr>
          <w:rFonts w:ascii="Times New Roman" w:hAnsi="Times New Roman" w:cs="Times New Roman"/>
        </w:rPr>
      </w:pPr>
      <w:r w:rsidRPr="00062C8D">
        <w:rPr>
          <w:rFonts w:ascii="Times New Roman" w:hAnsi="Times New Roman" w:cs="Times New Roman"/>
        </w:rPr>
        <w:br w:type="page"/>
      </w:r>
    </w:p>
    <w:p w:rsidR="007632A5" w:rsidRPr="00062C8D" w:rsidRDefault="007632A5" w:rsidP="007632A5">
      <w:pPr>
        <w:jc w:val="center"/>
        <w:rPr>
          <w:rFonts w:ascii="Times New Roman" w:hAnsi="Times New Roman" w:cs="Times New Roman"/>
          <w:b/>
        </w:rPr>
      </w:pPr>
      <w:r w:rsidRPr="00062C8D">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062C8D"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062C8D" w:rsidRDefault="007632A5" w:rsidP="00A54126">
            <w:pPr>
              <w:spacing w:line="240" w:lineRule="auto"/>
              <w:contextualSpacing/>
              <w:jc w:val="center"/>
              <w:rPr>
                <w:rFonts w:ascii="Times New Roman" w:eastAsia="Times New Roman" w:hAnsi="Times New Roman" w:cs="Times New Roman"/>
                <w:sz w:val="21"/>
                <w:szCs w:val="21"/>
                <w:lang w:eastAsia="ru-RU"/>
              </w:rPr>
            </w:pPr>
            <w:r w:rsidRPr="00062C8D">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062C8D"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eastAsia="Times New Roman" w:hAnsi="Times New Roman" w:cs="Times New Roman"/>
                <w:sz w:val="21"/>
                <w:szCs w:val="21"/>
                <w:lang w:eastAsia="ru-RU"/>
              </w:rPr>
            </w:pPr>
            <w:r w:rsidRPr="00062C8D">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r w:rsidRPr="00062C8D">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062C8D" w:rsidTr="00A54126">
              <w:tc>
                <w:tcPr>
                  <w:tcW w:w="429" w:type="dxa"/>
                </w:tcPr>
                <w:p w:rsidR="007632A5" w:rsidRPr="00062C8D" w:rsidRDefault="007632A5" w:rsidP="00A54126">
                  <w:pPr>
                    <w:pStyle w:val="aa"/>
                    <w:spacing w:before="0" w:beforeAutospacing="0" w:after="0" w:afterAutospacing="0"/>
                    <w:jc w:val="both"/>
                    <w:rPr>
                      <w:b/>
                      <w:color w:val="000000"/>
                      <w:sz w:val="22"/>
                      <w:szCs w:val="22"/>
                      <w:lang w:val="uk-UA" w:eastAsia="uk-UA"/>
                    </w:rPr>
                  </w:pPr>
                  <w:r w:rsidRPr="00062C8D">
                    <w:rPr>
                      <w:b/>
                      <w:color w:val="000000"/>
                      <w:sz w:val="22"/>
                      <w:szCs w:val="22"/>
                      <w:lang w:val="uk-UA" w:eastAsia="uk-UA"/>
                    </w:rPr>
                    <w:t>№</w:t>
                  </w:r>
                </w:p>
              </w:tc>
              <w:tc>
                <w:tcPr>
                  <w:tcW w:w="2442" w:type="dxa"/>
                </w:tcPr>
                <w:p w:rsidR="007632A5" w:rsidRPr="00062C8D" w:rsidRDefault="007632A5" w:rsidP="00A54126">
                  <w:pPr>
                    <w:pStyle w:val="aa"/>
                    <w:spacing w:before="0" w:beforeAutospacing="0" w:after="0" w:afterAutospacing="0"/>
                    <w:jc w:val="both"/>
                    <w:rPr>
                      <w:b/>
                      <w:color w:val="000000"/>
                      <w:sz w:val="22"/>
                      <w:szCs w:val="22"/>
                      <w:lang w:val="uk-UA" w:eastAsia="uk-UA"/>
                    </w:rPr>
                  </w:pPr>
                  <w:r w:rsidRPr="00062C8D">
                    <w:rPr>
                      <w:b/>
                      <w:color w:val="000000"/>
                      <w:sz w:val="22"/>
                      <w:szCs w:val="22"/>
                      <w:lang w:val="uk-UA" w:eastAsia="uk-UA"/>
                    </w:rPr>
                    <w:t>Прізвище, ім’я, по-батькові</w:t>
                  </w:r>
                </w:p>
              </w:tc>
              <w:tc>
                <w:tcPr>
                  <w:tcW w:w="2442" w:type="dxa"/>
                </w:tcPr>
                <w:p w:rsidR="007632A5" w:rsidRPr="00062C8D" w:rsidRDefault="007632A5" w:rsidP="00A54126">
                  <w:pPr>
                    <w:pStyle w:val="aa"/>
                    <w:spacing w:before="0" w:beforeAutospacing="0" w:after="0" w:afterAutospacing="0"/>
                    <w:jc w:val="both"/>
                    <w:rPr>
                      <w:b/>
                      <w:color w:val="000000"/>
                      <w:sz w:val="22"/>
                      <w:szCs w:val="22"/>
                      <w:lang w:val="uk-UA" w:eastAsia="uk-UA"/>
                    </w:rPr>
                  </w:pPr>
                  <w:r w:rsidRPr="00062C8D">
                    <w:rPr>
                      <w:b/>
                      <w:color w:val="000000"/>
                      <w:sz w:val="22"/>
                      <w:szCs w:val="22"/>
                      <w:lang w:val="uk-UA" w:eastAsia="uk-UA"/>
                    </w:rPr>
                    <w:t>Посада</w:t>
                  </w:r>
                </w:p>
              </w:tc>
              <w:tc>
                <w:tcPr>
                  <w:tcW w:w="2442" w:type="dxa"/>
                </w:tcPr>
                <w:p w:rsidR="007632A5" w:rsidRPr="00062C8D" w:rsidRDefault="007632A5" w:rsidP="00A54126">
                  <w:pPr>
                    <w:pStyle w:val="aa"/>
                    <w:spacing w:before="0" w:beforeAutospacing="0" w:after="0" w:afterAutospacing="0"/>
                    <w:jc w:val="both"/>
                    <w:rPr>
                      <w:b/>
                      <w:color w:val="000000"/>
                      <w:sz w:val="22"/>
                      <w:szCs w:val="22"/>
                      <w:lang w:val="uk-UA" w:eastAsia="uk-UA"/>
                    </w:rPr>
                  </w:pPr>
                  <w:r w:rsidRPr="00062C8D">
                    <w:rPr>
                      <w:b/>
                      <w:color w:val="000000"/>
                      <w:sz w:val="22"/>
                      <w:szCs w:val="22"/>
                      <w:lang w:val="uk-UA" w:eastAsia="uk-UA"/>
                    </w:rPr>
                    <w:t>Підтверджуючий документ</w:t>
                  </w:r>
                </w:p>
              </w:tc>
            </w:tr>
            <w:tr w:rsidR="007632A5" w:rsidRPr="00062C8D" w:rsidTr="00A54126">
              <w:tc>
                <w:tcPr>
                  <w:tcW w:w="7755" w:type="dxa"/>
                  <w:gridSpan w:val="4"/>
                </w:tcPr>
                <w:p w:rsidR="007632A5" w:rsidRPr="00062C8D" w:rsidRDefault="007632A5" w:rsidP="00A54126">
                  <w:pPr>
                    <w:pStyle w:val="aa"/>
                    <w:spacing w:before="0" w:beforeAutospacing="0" w:after="0" w:afterAutospacing="0"/>
                    <w:jc w:val="center"/>
                    <w:rPr>
                      <w:i/>
                      <w:color w:val="000000"/>
                      <w:sz w:val="22"/>
                      <w:szCs w:val="22"/>
                      <w:lang w:val="uk-UA" w:eastAsia="uk-UA"/>
                    </w:rPr>
                  </w:pPr>
                  <w:r w:rsidRPr="00062C8D">
                    <w:rPr>
                      <w:i/>
                      <w:color w:val="000000"/>
                      <w:sz w:val="22"/>
                      <w:szCs w:val="22"/>
                      <w:lang w:val="uk-UA" w:eastAsia="uk-UA"/>
                    </w:rPr>
                    <w:t>Щодо підписання тендерної пропозиції</w:t>
                  </w:r>
                </w:p>
              </w:tc>
            </w:tr>
            <w:tr w:rsidR="007632A5" w:rsidRPr="00062C8D" w:rsidTr="00A54126">
              <w:tc>
                <w:tcPr>
                  <w:tcW w:w="429"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r>
            <w:tr w:rsidR="007632A5" w:rsidRPr="00062C8D" w:rsidTr="00A54126">
              <w:tc>
                <w:tcPr>
                  <w:tcW w:w="7755" w:type="dxa"/>
                  <w:gridSpan w:val="4"/>
                </w:tcPr>
                <w:p w:rsidR="007632A5" w:rsidRPr="00062C8D" w:rsidRDefault="007632A5" w:rsidP="00A54126">
                  <w:pPr>
                    <w:pStyle w:val="aa"/>
                    <w:spacing w:before="0" w:beforeAutospacing="0" w:after="0" w:afterAutospacing="0"/>
                    <w:jc w:val="center"/>
                    <w:rPr>
                      <w:i/>
                      <w:color w:val="000000"/>
                      <w:sz w:val="22"/>
                      <w:szCs w:val="22"/>
                      <w:lang w:val="uk-UA" w:eastAsia="uk-UA"/>
                    </w:rPr>
                  </w:pPr>
                  <w:r w:rsidRPr="00062C8D">
                    <w:rPr>
                      <w:i/>
                      <w:color w:val="000000"/>
                      <w:sz w:val="22"/>
                      <w:szCs w:val="22"/>
                      <w:lang w:val="uk-UA" w:eastAsia="uk-UA"/>
                    </w:rPr>
                    <w:t>Щодо підписання договору за результатами закупівлі</w:t>
                  </w:r>
                </w:p>
              </w:tc>
            </w:tr>
            <w:tr w:rsidR="007632A5" w:rsidRPr="00062C8D" w:rsidTr="00A54126">
              <w:tc>
                <w:tcPr>
                  <w:tcW w:w="429"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062C8D" w:rsidRDefault="007632A5" w:rsidP="00A54126">
                  <w:pPr>
                    <w:pStyle w:val="aa"/>
                    <w:spacing w:before="0" w:beforeAutospacing="0" w:after="0" w:afterAutospacing="0"/>
                    <w:jc w:val="both"/>
                    <w:rPr>
                      <w:color w:val="000000"/>
                      <w:sz w:val="22"/>
                      <w:szCs w:val="22"/>
                      <w:lang w:val="uk-UA" w:eastAsia="uk-UA"/>
                    </w:rPr>
                  </w:pPr>
                </w:p>
              </w:tc>
            </w:tr>
          </w:tbl>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r w:rsidRPr="00062C8D">
              <w:rPr>
                <w:color w:val="000000"/>
                <w:sz w:val="22"/>
                <w:szCs w:val="22"/>
                <w:lang w:val="uk-UA" w:eastAsia="uk-UA"/>
              </w:rPr>
              <w:t xml:space="preserve">Повноваження щодо підпису документів підтверджуються: </w:t>
            </w: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r w:rsidRPr="00062C8D">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062C8D">
              <w:rPr>
                <w:color w:val="000000"/>
                <w:sz w:val="22"/>
                <w:szCs w:val="22"/>
                <w:u w:val="single"/>
                <w:lang w:val="uk-UA" w:eastAsia="uk-UA"/>
              </w:rPr>
              <w:t>на підставі положень установчих документів</w:t>
            </w:r>
            <w:r w:rsidRPr="00062C8D">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r w:rsidRPr="00062C8D">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062C8D" w:rsidRDefault="007632A5" w:rsidP="00A54126">
            <w:pPr>
              <w:pStyle w:val="aa"/>
              <w:spacing w:before="0" w:beforeAutospacing="0" w:after="0" w:afterAutospacing="0"/>
              <w:ind w:left="-21" w:firstLine="479"/>
              <w:jc w:val="both"/>
              <w:rPr>
                <w:color w:val="000000"/>
                <w:sz w:val="22"/>
                <w:szCs w:val="22"/>
                <w:lang w:val="uk-UA" w:eastAsia="uk-UA"/>
              </w:rPr>
            </w:pPr>
            <w:r w:rsidRPr="00062C8D">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062C8D">
              <w:rPr>
                <w:color w:val="000000"/>
                <w:sz w:val="22"/>
                <w:szCs w:val="22"/>
                <w:lang w:val="uk-UA" w:eastAsia="uk-UA"/>
              </w:rPr>
              <w:t>наказ  про призначення директора об’єднання учасників.</w:t>
            </w:r>
          </w:p>
          <w:p w:rsidR="007632A5" w:rsidRPr="00062C8D" w:rsidRDefault="007632A5" w:rsidP="00A54126">
            <w:pPr>
              <w:pStyle w:val="aa"/>
              <w:spacing w:before="0" w:beforeAutospacing="0" w:after="0" w:afterAutospacing="0"/>
              <w:ind w:left="-21" w:firstLine="479"/>
              <w:jc w:val="both"/>
              <w:rPr>
                <w:color w:val="000000"/>
                <w:sz w:val="22"/>
                <w:szCs w:val="22"/>
                <w:lang w:eastAsia="uk-UA"/>
              </w:rPr>
            </w:pPr>
            <w:r w:rsidRPr="00062C8D">
              <w:rPr>
                <w:color w:val="000000"/>
                <w:sz w:val="22"/>
                <w:szCs w:val="22"/>
                <w:lang w:val="uk-UA" w:eastAsia="uk-UA"/>
              </w:rPr>
              <w:t xml:space="preserve">Г) </w:t>
            </w:r>
            <w:r w:rsidRPr="00062C8D">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062C8D">
              <w:rPr>
                <w:color w:val="000000"/>
                <w:sz w:val="22"/>
                <w:szCs w:val="22"/>
                <w:lang w:val="en-US" w:eastAsia="uk-UA"/>
              </w:rPr>
              <w:t>ID</w:t>
            </w:r>
            <w:r w:rsidRPr="00062C8D">
              <w:rPr>
                <w:color w:val="000000"/>
                <w:sz w:val="22"/>
                <w:szCs w:val="22"/>
                <w:lang w:eastAsia="uk-UA"/>
              </w:rPr>
              <w:t>-картки.</w:t>
            </w:r>
          </w:p>
          <w:p w:rsidR="007632A5" w:rsidRPr="00062C8D"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062C8D"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eastAsia="Times New Roman" w:hAnsi="Times New Roman" w:cs="Times New Roman"/>
                <w:sz w:val="21"/>
                <w:szCs w:val="21"/>
                <w:lang w:eastAsia="ru-RU"/>
              </w:rPr>
            </w:pPr>
            <w:r w:rsidRPr="00062C8D">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hAnsi="Times New Roman"/>
                <w:iCs/>
              </w:rPr>
            </w:pPr>
            <w:r w:rsidRPr="00062C8D">
              <w:rPr>
                <w:rFonts w:ascii="Times New Roman" w:hAnsi="Times New Roman"/>
                <w:iCs/>
              </w:rPr>
              <w:t xml:space="preserve">Оригінал </w:t>
            </w:r>
            <w:r w:rsidRPr="00062C8D">
              <w:rPr>
                <w:rFonts w:ascii="Times New Roman" w:hAnsi="Times New Roman"/>
              </w:rPr>
              <w:t>чи</w:t>
            </w:r>
            <w:r w:rsidRPr="00062C8D">
              <w:rPr>
                <w:rFonts w:ascii="Times New Roman" w:eastAsia="Arial" w:hAnsi="Times New Roman"/>
                <w:lang w:eastAsia="zh-CN"/>
              </w:rPr>
              <w:t xml:space="preserve"> </w:t>
            </w:r>
            <w:r w:rsidRPr="00062C8D">
              <w:rPr>
                <w:rFonts w:ascii="Times New Roman" w:hAnsi="Times New Roman"/>
              </w:rPr>
              <w:t xml:space="preserve">копія </w:t>
            </w:r>
            <w:r w:rsidRPr="00062C8D">
              <w:rPr>
                <w:rFonts w:ascii="Times New Roman" w:hAnsi="Times New Roman"/>
                <w:iCs/>
              </w:rPr>
              <w:t>статуту або іншого установчого документу</w:t>
            </w:r>
            <w:r w:rsidRPr="00062C8D">
              <w:rPr>
                <w:rFonts w:ascii="Times New Roman" w:hAnsi="Times New Roman"/>
              </w:rPr>
              <w:t xml:space="preserve"> зі змінами (у разі їх наявності),</w:t>
            </w:r>
            <w:r w:rsidRPr="00062C8D">
              <w:rPr>
                <w:rFonts w:ascii="Times New Roman" w:hAnsi="Times New Roman"/>
                <w:iCs/>
              </w:rPr>
              <w:t xml:space="preserve"> (для учасника - юридичної особи. Положення статуту, що подається у</w:t>
            </w:r>
            <w:r w:rsidRPr="00062C8D">
              <w:rPr>
                <w:rFonts w:ascii="Times New Roman" w:hAnsi="Times New Roman"/>
                <w:color w:val="000000"/>
                <w:shd w:val="clear" w:color="auto" w:fill="FFFFFF"/>
              </w:rPr>
              <w:t xml:space="preserve">часником з </w:t>
            </w:r>
            <w:r w:rsidRPr="00062C8D">
              <w:rPr>
                <w:rFonts w:ascii="Times New Roman" w:hAnsi="Times New Roman"/>
                <w:lang w:eastAsia="ar-SA"/>
              </w:rPr>
              <w:t>організаційно-правовою формою господарювання:</w:t>
            </w:r>
            <w:r w:rsidRPr="00062C8D">
              <w:rPr>
                <w:rFonts w:ascii="Times New Roman" w:hAnsi="Times New Roman"/>
                <w:color w:val="000000"/>
                <w:shd w:val="clear" w:color="auto" w:fill="FFFFFF"/>
              </w:rPr>
              <w:t xml:space="preserve"> товариство</w:t>
            </w:r>
            <w:r w:rsidRPr="00062C8D">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62C8D">
              <w:rPr>
                <w:rFonts w:ascii="Times New Roman" w:hAnsi="Times New Roman"/>
                <w:iCs/>
              </w:rPr>
              <w:t xml:space="preserve">). </w:t>
            </w:r>
          </w:p>
          <w:p w:rsidR="007632A5" w:rsidRPr="00062C8D" w:rsidRDefault="007632A5" w:rsidP="00A54126">
            <w:pPr>
              <w:spacing w:line="240" w:lineRule="auto"/>
              <w:contextualSpacing/>
              <w:jc w:val="both"/>
              <w:rPr>
                <w:rFonts w:ascii="Times New Roman" w:hAnsi="Times New Roman"/>
              </w:rPr>
            </w:pPr>
            <w:r w:rsidRPr="00062C8D">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062C8D" w:rsidRDefault="007632A5" w:rsidP="00A54126">
            <w:pPr>
              <w:spacing w:line="240" w:lineRule="auto"/>
              <w:contextualSpacing/>
              <w:jc w:val="both"/>
              <w:rPr>
                <w:rFonts w:ascii="Times New Roman" w:eastAsia="Times New Roman" w:hAnsi="Times New Roman" w:cs="Times New Roman"/>
                <w:lang w:eastAsia="ru-RU"/>
              </w:rPr>
            </w:pPr>
            <w:r w:rsidRPr="00062C8D">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062C8D"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eastAsia="Times New Roman" w:hAnsi="Times New Roman" w:cs="Times New Roman"/>
                <w:sz w:val="21"/>
                <w:szCs w:val="21"/>
                <w:lang w:eastAsia="ru-RU"/>
              </w:rPr>
            </w:pPr>
            <w:r w:rsidRPr="00062C8D">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hAnsi="Times New Roman" w:cs="Times New Roman"/>
              </w:rPr>
            </w:pPr>
            <w:r w:rsidRPr="00062C8D">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sidRPr="00062C8D">
              <w:rPr>
                <w:rFonts w:ascii="Times New Roman" w:hAnsi="Times New Roman" w:cs="Times New Roman"/>
              </w:rPr>
              <w:t xml:space="preserve">більше 30 -денної давнини відносно кінцевого строку подання тендерних пропозицій </w:t>
            </w:r>
            <w:r w:rsidRPr="00062C8D">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062C8D" w:rsidRDefault="007632A5" w:rsidP="00A54126">
            <w:pPr>
              <w:spacing w:line="240" w:lineRule="auto"/>
              <w:contextualSpacing/>
              <w:jc w:val="both"/>
              <w:rPr>
                <w:rFonts w:ascii="Times New Roman" w:eastAsia="Times New Roman" w:hAnsi="Times New Roman" w:cs="Times New Roman"/>
                <w:sz w:val="21"/>
                <w:szCs w:val="21"/>
                <w:lang w:eastAsia="ru-RU"/>
              </w:rPr>
            </w:pPr>
            <w:r w:rsidRPr="00062C8D">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062C8D">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BF" w:rsidRDefault="005038BF">
      <w:pPr>
        <w:spacing w:after="0" w:line="240" w:lineRule="auto"/>
      </w:pPr>
      <w:r>
        <w:separator/>
      </w:r>
    </w:p>
  </w:endnote>
  <w:endnote w:type="continuationSeparator" w:id="0">
    <w:p w:rsidR="005038BF" w:rsidRDefault="005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BF" w:rsidRDefault="005038BF">
      <w:pPr>
        <w:spacing w:after="0" w:line="240" w:lineRule="auto"/>
      </w:pPr>
      <w:r>
        <w:separator/>
      </w:r>
    </w:p>
  </w:footnote>
  <w:footnote w:type="continuationSeparator" w:id="0">
    <w:p w:rsidR="005038BF" w:rsidRDefault="0050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62C8D" w:rsidRPr="00062C8D">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503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DB32FD6"/>
    <w:multiLevelType w:val="multilevel"/>
    <w:tmpl w:val="D3D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3C3C58"/>
    <w:multiLevelType w:val="hybridMultilevel"/>
    <w:tmpl w:val="83886B3A"/>
    <w:lvl w:ilvl="0" w:tplc="3E2EC866">
      <w:start w:val="1"/>
      <w:numFmt w:val="decimal"/>
      <w:lvlText w:val="%1."/>
      <w:lvlJc w:val="left"/>
      <w:pPr>
        <w:ind w:left="720" w:hanging="360"/>
      </w:pPr>
      <w:rPr>
        <w:rFonts w:asciiTheme="minorHAnsi" w:hAnsi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0"/>
  </w:num>
  <w:num w:numId="3">
    <w:abstractNumId w:val="3"/>
  </w:num>
  <w:num w:numId="4">
    <w:abstractNumId w:val="13"/>
  </w:num>
  <w:num w:numId="5">
    <w:abstractNumId w:val="5"/>
  </w:num>
  <w:num w:numId="6">
    <w:abstractNumId w:val="0"/>
  </w:num>
  <w:num w:numId="7">
    <w:abstractNumId w:val="6"/>
  </w:num>
  <w:num w:numId="8">
    <w:abstractNumId w:val="12"/>
  </w:num>
  <w:num w:numId="9">
    <w:abstractNumId w:val="2"/>
  </w:num>
  <w:num w:numId="10">
    <w:abstractNumId w:val="4"/>
  </w:num>
  <w:num w:numId="11">
    <w:abstractNumId w:val="9"/>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50D2"/>
    <w:rsid w:val="000622A9"/>
    <w:rsid w:val="00062C8D"/>
    <w:rsid w:val="00071B88"/>
    <w:rsid w:val="00097D0F"/>
    <w:rsid w:val="000D6C46"/>
    <w:rsid w:val="0010524F"/>
    <w:rsid w:val="001536B7"/>
    <w:rsid w:val="00190697"/>
    <w:rsid w:val="001A7D14"/>
    <w:rsid w:val="00214E38"/>
    <w:rsid w:val="00225CA2"/>
    <w:rsid w:val="00245BC5"/>
    <w:rsid w:val="00251FCF"/>
    <w:rsid w:val="00272842"/>
    <w:rsid w:val="002A735D"/>
    <w:rsid w:val="00376423"/>
    <w:rsid w:val="003A2FEC"/>
    <w:rsid w:val="003E310A"/>
    <w:rsid w:val="00420B51"/>
    <w:rsid w:val="004F5649"/>
    <w:rsid w:val="005038BF"/>
    <w:rsid w:val="00531A4D"/>
    <w:rsid w:val="00566D1A"/>
    <w:rsid w:val="005A2B9A"/>
    <w:rsid w:val="005A5765"/>
    <w:rsid w:val="005B6CA5"/>
    <w:rsid w:val="005D0CBD"/>
    <w:rsid w:val="00681EE3"/>
    <w:rsid w:val="006C4709"/>
    <w:rsid w:val="006F19B3"/>
    <w:rsid w:val="006F527E"/>
    <w:rsid w:val="00716438"/>
    <w:rsid w:val="00731F24"/>
    <w:rsid w:val="00733D1F"/>
    <w:rsid w:val="00740BB3"/>
    <w:rsid w:val="0075645D"/>
    <w:rsid w:val="007632A5"/>
    <w:rsid w:val="00784553"/>
    <w:rsid w:val="008B5C86"/>
    <w:rsid w:val="00912F07"/>
    <w:rsid w:val="00922EA8"/>
    <w:rsid w:val="00945C6E"/>
    <w:rsid w:val="00950E45"/>
    <w:rsid w:val="00990A15"/>
    <w:rsid w:val="009B49A6"/>
    <w:rsid w:val="00A104B2"/>
    <w:rsid w:val="00A330A5"/>
    <w:rsid w:val="00A40385"/>
    <w:rsid w:val="00A5011D"/>
    <w:rsid w:val="00A77533"/>
    <w:rsid w:val="00AA2CBC"/>
    <w:rsid w:val="00AC046B"/>
    <w:rsid w:val="00AD574B"/>
    <w:rsid w:val="00B37302"/>
    <w:rsid w:val="00B63A8D"/>
    <w:rsid w:val="00B93461"/>
    <w:rsid w:val="00BE2EDD"/>
    <w:rsid w:val="00BE6662"/>
    <w:rsid w:val="00C3076C"/>
    <w:rsid w:val="00C7684A"/>
    <w:rsid w:val="00C85350"/>
    <w:rsid w:val="00C93A31"/>
    <w:rsid w:val="00D03158"/>
    <w:rsid w:val="00D5739F"/>
    <w:rsid w:val="00D777BE"/>
    <w:rsid w:val="00E56C08"/>
    <w:rsid w:val="00EA3EC0"/>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6BB8-1497-4144-89DB-557D09DE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15475</Words>
  <Characters>8822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50</cp:revision>
  <dcterms:created xsi:type="dcterms:W3CDTF">2022-09-22T22:33:00Z</dcterms:created>
  <dcterms:modified xsi:type="dcterms:W3CDTF">2023-02-06T14:11:00Z</dcterms:modified>
</cp:coreProperties>
</file>