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FD85" w14:textId="7D1FB2AB" w:rsidR="0030280B" w:rsidRDefault="0030280B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16344B" w14:textId="77777777" w:rsidR="00DE6B4C" w:rsidRPr="00005250" w:rsidRDefault="00DE6B4C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ECC2EB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11FE758F" w14:textId="77777777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175FDB1B" w14:textId="1EDC8241"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51538E25" w14:textId="03D97DF5" w:rsidR="0030280B" w:rsidRPr="008F4E70" w:rsidRDefault="0030280B" w:rsidP="008F4E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5ED93CC" w14:textId="263618D2" w:rsidR="000F51CB" w:rsidRPr="000F51CB" w:rsidRDefault="000F51CB" w:rsidP="00A3166A">
      <w:pPr>
        <w:pStyle w:val="a3"/>
        <w:spacing w:before="240"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171"/>
      </w:tblGrid>
      <w:tr w:rsidR="0030280B" w:rsidRPr="00254086" w14:paraId="08C088A7" w14:textId="77777777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0F60A" w14:textId="77777777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150C0F" w14:textId="6B61F34F" w:rsidR="0030280B" w:rsidRPr="00314C24" w:rsidRDefault="0030280B" w:rsidP="00A316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C75CF" w14:textId="2D945655" w:rsidR="0030280B" w:rsidRPr="00314C24" w:rsidRDefault="0030280B" w:rsidP="001850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4D3082" w14:paraId="5DEAB4EC" w14:textId="77777777" w:rsidTr="0057449D">
        <w:trPr>
          <w:trHeight w:val="161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2B49" w14:textId="77777777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6757" w14:textId="36B8E576" w:rsidR="0057449D" w:rsidRPr="004D3082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обладнання, матеріально-технічної бази та технологій*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B0710" w14:textId="10A8EB91" w:rsidR="0057449D" w:rsidRPr="0057449D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умов договору.</w:t>
            </w:r>
          </w:p>
        </w:tc>
      </w:tr>
      <w:tr w:rsidR="0057449D" w:rsidRPr="00254086" w14:paraId="5D3C2A7B" w14:textId="77777777" w:rsidTr="0057449D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B9FD9" w14:textId="77777777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4D2A" w14:textId="77777777" w:rsidR="0057449D" w:rsidRPr="00A3166A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працівників відповідної кваліфікації, які мають необхідні знання та досвід*</w:t>
            </w:r>
          </w:p>
          <w:p w14:paraId="74A000B3" w14:textId="5BB19B63" w:rsidR="0057449D" w:rsidRPr="00A3166A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F92F" w14:textId="3B61D1F3" w:rsidR="0057449D" w:rsidRPr="0057449D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Інформаційну довідку в довільній формі про наявність в учасника працівників відповідної кваліфікації, які мають необхідні знання та досвід, необхідні для виконання умов договору.</w:t>
            </w:r>
          </w:p>
        </w:tc>
      </w:tr>
      <w:tr w:rsidR="0057449D" w:rsidRPr="005C35EE" w14:paraId="37EC93F1" w14:textId="77777777" w:rsidTr="0057449D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42BF" w14:textId="4DBB6332" w:rsidR="0057449D" w:rsidRPr="00314C24" w:rsidRDefault="0057449D" w:rsidP="0057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6D62" w14:textId="28D94856" w:rsidR="0057449D" w:rsidRPr="00A3166A" w:rsidRDefault="0057449D" w:rsidP="0057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13D5" w14:textId="24A1593A" w:rsidR="0057449D" w:rsidRPr="0057449D" w:rsidRDefault="0057449D" w:rsidP="0057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), з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договору*,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proofErr w:type="gram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контактними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стану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, разом з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 та документами,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 та лист-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744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* Аналогічними договорами є договори на закупівлю товарів згідно переліку кодів за класом: «код ДК 021:2015</w:t>
            </w:r>
          </w:p>
        </w:tc>
      </w:tr>
    </w:tbl>
    <w:p w14:paraId="51720CCF" w14:textId="04E5A969" w:rsidR="00312CA9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9A0C40F" w14:textId="77777777" w:rsidR="008806C6" w:rsidRPr="00A3166A" w:rsidRDefault="008806C6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4BA4B504" w14:textId="24B777A7" w:rsidR="001E12F7" w:rsidRPr="0029247E" w:rsidRDefault="001E12F7" w:rsidP="0029247E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  <w:r w:rsidR="00E43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****</w:t>
      </w:r>
    </w:p>
    <w:p w14:paraId="430042F5" w14:textId="77777777" w:rsidR="00301C25" w:rsidRPr="00AD68E4" w:rsidRDefault="00301C25" w:rsidP="00301C25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_Hlk41326527"/>
    </w:p>
    <w:p w14:paraId="4B80A74C" w14:textId="695647EB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Учасник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процедури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закупівлі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в тому числі об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>’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єднання учасників,</w:t>
      </w:r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електронній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системі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закупівель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підтверджує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відсутність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підстав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передбачених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пунктами 5, 6, 12 і 13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частини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першої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статті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 Закону шляхом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заповнення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відповідних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електронних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полів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визначених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адміністратором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електронної</w:t>
      </w:r>
      <w:proofErr w:type="spellEnd"/>
      <w:r w:rsidRPr="000139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системи</w:t>
      </w:r>
      <w:proofErr w:type="spellEnd"/>
      <w:r w:rsidRPr="000139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закупівель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і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реалізованих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електронній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системі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закупівель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219EFA6F" w14:textId="77777777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чекбоксі</w:t>
      </w:r>
      <w:proofErr w:type="spellEnd"/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14:paraId="6AFA3669" w14:textId="152ACCB3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Учасник процедури закупівлі, в тому числі об’єднання учасників, в електронній системі </w:t>
      </w:r>
      <w:proofErr w:type="spellStart"/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закупівель</w:t>
      </w:r>
      <w:proofErr w:type="spellEnd"/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під час подання тендерної пропозиції 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підтверджує відсутність підстави, передбаченої частиною</w:t>
      </w:r>
      <w:r w:rsidR="008806C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першою та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другою статті 17 Закону у вигляді довідки, складеної учасником у довільній формі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зміст якої підтверджує відсутність відповідної підстави для відмови в участі у процедурі закупівлі.</w:t>
      </w:r>
    </w:p>
    <w:p w14:paraId="1C063BEE" w14:textId="561E2A04" w:rsidR="00013984" w:rsidRPr="00013984" w:rsidRDefault="00013984" w:rsidP="00013984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01398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може надати підтвердження вжиття заходів для доведення своєї надійності</w:t>
      </w:r>
      <w:r w:rsidRPr="00013984">
        <w:rPr>
          <w:rFonts w:ascii="Times New Roman" w:hAnsi="Times New Roman" w:cs="Times New Roman"/>
          <w:sz w:val="24"/>
          <w:szCs w:val="24"/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14:paraId="3635CE96" w14:textId="25FB9C10" w:rsidR="00013984" w:rsidRDefault="00013984" w:rsidP="00013984">
      <w:pPr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</w:pP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Всю публічну інформацію щодо учасника, що оприлюднена у формі відкритих даних згідно із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hyperlink r:id="rId6" w:tgtFrame="_blank" w:history="1">
        <w:r w:rsidRPr="00013984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 xml:space="preserve"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закупівель</w:t>
      </w:r>
      <w:proofErr w:type="spellEnd"/>
      <w:r w:rsidRPr="0001398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uk-UA"/>
        </w:rPr>
        <w:t>, замовник перевіряє самостійно.</w:t>
      </w:r>
    </w:p>
    <w:p w14:paraId="409ECBA8" w14:textId="77777777" w:rsidR="008806C6" w:rsidRPr="00013984" w:rsidRDefault="008806C6" w:rsidP="000139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bookmarkEnd w:id="1"/>
    <w:bookmarkEnd w:id="0"/>
    <w:p w14:paraId="214EF548" w14:textId="0F60EF5F" w:rsidR="00A3166A" w:rsidRDefault="0030280B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66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Перелік документів та інформації</w:t>
      </w: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 для підтвердження відповідності ПЕРЕМОЖЦЯ вимогам, визначеним у статті 17 Закону  “Про публічні закупівлі”:</w:t>
      </w:r>
    </w:p>
    <w:p w14:paraId="385BB2B3" w14:textId="77777777" w:rsidR="00185067" w:rsidRPr="00314C24" w:rsidRDefault="00185067" w:rsidP="0018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2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314C24" w14:paraId="556D6EEC" w14:textId="77777777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2"/>
          <w:p w14:paraId="30E34689" w14:textId="77777777" w:rsidR="00185067" w:rsidRPr="00314C24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1A15B084" w14:textId="77777777" w:rsidR="00185067" w:rsidRPr="00314C24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17B03" w14:textId="77777777" w:rsidR="00185067" w:rsidRPr="00314C24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187911BC" w14:textId="77777777" w:rsidR="00185067" w:rsidRPr="00314C24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A257F" w14:textId="77777777" w:rsidR="00185067" w:rsidRPr="00314C24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254086" w14:paraId="196CDA8E" w14:textId="77777777" w:rsidTr="00185067">
        <w:trPr>
          <w:trHeight w:val="451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4240" w14:textId="408BBB10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8E62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Відомості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 юридичну особу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є учасником процедури закупівлі,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внесено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  <w:p w14:paraId="5462061D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6F6F" w14:textId="77777777" w:rsidR="00185067" w:rsidRPr="00185067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254086" w14:paraId="468F38DF" w14:textId="77777777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3C47" w14:textId="4B942583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163A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0413B63F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43DD" w14:textId="77777777" w:rsidR="00185067" w:rsidRPr="00185067" w:rsidRDefault="00185067" w:rsidP="0018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005250" w14:paraId="3A0AAE8F" w14:textId="77777777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96B5" w14:textId="0D6FDE1F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8A7A" w14:textId="3BECFE0A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14:paraId="14143361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EE13" w14:textId="77777777" w:rsidR="00254086" w:rsidRPr="00254086" w:rsidRDefault="00254086" w:rsidP="0025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те, що фізичну особу, яка є учасником, чи службову (посадову) особу учасника, яка підписала тендерну пропозицію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не більше місячної давнини відносно дати подання тендерних пропозицій. </w:t>
            </w:r>
          </w:p>
          <w:p w14:paraId="6603C789" w14:textId="2F600082" w:rsidR="00185067" w:rsidRPr="00185067" w:rsidRDefault="00254086" w:rsidP="0025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Вказаний витяг може бути наданий у вигляді електронного документу (Витяг може засвідчуватись електронною печаткою служби Єдиної інформаційної системи МВС. Кожен витяг може містити (містить) QR-код, по якому можна знайти на відповідний підтвердний запис в електронних ресурсах ІАС</w:t>
            </w:r>
          </w:p>
        </w:tc>
      </w:tr>
      <w:tr w:rsidR="00185067" w:rsidRPr="00005250" w14:paraId="386B1CFF" w14:textId="77777777" w:rsidTr="00185067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6AFB" w14:textId="17A90256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0084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39909FEB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DDA6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185067" w:rsidRPr="001D3671" w14:paraId="52D3C727" w14:textId="77777777" w:rsidTr="00185067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42780" w14:textId="49CB6420" w:rsidR="00185067" w:rsidRPr="00185067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C0A34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0104947" w14:textId="77777777" w:rsidR="00185067" w:rsidRP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6ECE9" w14:textId="77777777" w:rsidR="00254086" w:rsidRPr="00254086" w:rsidRDefault="00254086" w:rsidP="0025408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те, що фізичну особу, яка є учасником, чи службову (посадову) особу учасника, яка підписала тендерну пропозицію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не більше місячної давнини відносно дати подання тендерних пропозицій. </w:t>
            </w:r>
          </w:p>
          <w:p w14:paraId="4ADB1C26" w14:textId="7A3B9430" w:rsidR="00185067" w:rsidRPr="001D3671" w:rsidRDefault="00254086" w:rsidP="0025408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Вказаний витяг може бути наданий у вигляді електронного документу (Витяг може засвідчуватись електронною печаткою служби Єдиної інформаційної системи МВС. Кожен витяг може містити (містить) QR-код, по якому можна знайти на відповідний підтвердний запис в електронних ресурсах ІАС</w:t>
            </w:r>
          </w:p>
        </w:tc>
      </w:tr>
      <w:tr w:rsidR="00F1473D" w:rsidRPr="00254086" w14:paraId="6C26FC05" w14:textId="77777777" w:rsidTr="00185067">
        <w:trPr>
          <w:trHeight w:val="589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0BD8" w14:textId="1ACCF306" w:rsidR="00F1473D" w:rsidRPr="00314C24" w:rsidRDefault="00F1473D" w:rsidP="00F1473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2DCB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14:paraId="1F7C93CC" w14:textId="77777777" w:rsidR="00F1473D" w:rsidRPr="00047201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13 частини 1 статті 17 Закону)</w:t>
            </w:r>
          </w:p>
          <w:p w14:paraId="093EC4CA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C2CA" w14:textId="77777777" w:rsidR="00F1473D" w:rsidRPr="00D00F08" w:rsidRDefault="00F1473D" w:rsidP="00F1473D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Замовник самостійно перевіряє інформацію, що є доступною в електронній системі </w:t>
            </w:r>
            <w:proofErr w:type="spellStart"/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17D2BB91" w14:textId="77777777" w:rsidR="00E433C0" w:rsidRPr="00E433C0" w:rsidRDefault="00E433C0" w:rsidP="00E433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Щодо переможця стосовно якого в електронній системі </w:t>
            </w:r>
            <w:proofErr w:type="spellStart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буде сформована довідка (квитанція) про наявність заборгованості із сплати податків і зборів (обов’язкових платежів) замовник перевіряє інформацію про розстрочення (відстрочення) такої заборгованості відповідним органом в реєстрі заяв про розстрочення, відстрочення грошового зобов’язання чи податкового боргу.</w:t>
            </w:r>
          </w:p>
          <w:p w14:paraId="6158D18C" w14:textId="77777777" w:rsidR="00F1473D" w:rsidRDefault="00E433C0" w:rsidP="00E433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Переможець стосовно якого в електронній системі </w:t>
            </w:r>
            <w:proofErr w:type="spellStart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буде сформована довідка (квитанція) про наявність заборгованості із сплати податків і зборів (обов’язкових платежів), який не здійснив розстрочення (відстрочення) такої заборгованості відповідним органом, може надати нову, чинну, сформовану більш пізньою датою та/або часом, довідку з податкової служби про відсутність податкової заборгованості.</w:t>
            </w:r>
          </w:p>
          <w:p w14:paraId="32366755" w14:textId="276BDE53" w:rsidR="00953146" w:rsidRPr="002D6E64" w:rsidRDefault="00953146" w:rsidP="00E433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якщо в електронній системі </w:t>
            </w:r>
            <w:proofErr w:type="spellStart"/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не сформовано довідку (квитанцію) про наявність/відсутність заборгованості із сплати податків і зборів (обов’язкових платежів), переможець надає довідку про наявність/відсутність заборгованості із сплати податків і зборів (обов’язкових платежів), видану </w:t>
            </w:r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уповноваженим на видачу таких довідок органом, що діє станом на дату  подання документа. У випадку наявності в довідці інформації про заборгованість із сплати податків і зборів (обов’язкових платежів) замовник перевіряє інформацію про розстрочення (відстрочення) такої заборгованості відповідним органом в реєстрі заяв про розстрочення, відстрочення грошового зобов’язання чи податкового боргу.</w:t>
            </w:r>
          </w:p>
        </w:tc>
      </w:tr>
      <w:tr w:rsidR="00F1473D" w:rsidRPr="00254086" w14:paraId="0E086FF1" w14:textId="77777777" w:rsidTr="00185067">
        <w:trPr>
          <w:trHeight w:val="37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F4B59" w14:textId="4393E706" w:rsidR="00F1473D" w:rsidRPr="00314C24" w:rsidRDefault="00F1473D" w:rsidP="00F1473D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A4ECE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C4DF486" w14:textId="77777777" w:rsidR="00F1473D" w:rsidRPr="00047201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AA1A7" w14:textId="2323CE75" w:rsidR="00F1473D" w:rsidRPr="00C3084C" w:rsidRDefault="00F1473D" w:rsidP="00F147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зобов’язання за раніше укладеним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7ADFB117" w14:textId="77777777" w:rsidR="00185067" w:rsidRPr="002D6E64" w:rsidRDefault="00185067" w:rsidP="00185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D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185067" w:rsidRPr="00005250" w14:paraId="18A86934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C879" w14:textId="7777777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10ACB362" w14:textId="7777777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A7FF5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2CBBAD2D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F62A7" w14:textId="77777777" w:rsidR="00185067" w:rsidRPr="00314C24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254086" w14:paraId="5D6277F8" w14:textId="77777777" w:rsidTr="00185067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9CC7" w14:textId="1C12B3B7" w:rsidR="00185067" w:rsidRPr="00314C24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2A34" w14:textId="77777777" w:rsidR="00185067" w:rsidRPr="00005250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0876D14E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4A98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185067" w:rsidRPr="00005250" w14:paraId="31E19FD0" w14:textId="77777777" w:rsidTr="00185067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3B43" w14:textId="1485217D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4ED6" w14:textId="2F21AD38" w:rsidR="00185067" w:rsidRDefault="00185067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Фізична особа, яка є учасником процедури закупівлі,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хабарництвом та відмиванням коштів), судимість з якої не знято або не погашено у встановленому законом порядку</w:t>
            </w:r>
          </w:p>
          <w:p w14:paraId="70BC24E2" w14:textId="77777777" w:rsidR="00185067" w:rsidRPr="00145A40" w:rsidRDefault="00185067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E769" w14:textId="77777777" w:rsidR="00254086" w:rsidRPr="00254086" w:rsidRDefault="00254086" w:rsidP="0025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те, що фізичну особу, яка є учасником, чи службову (посадову) особу учасника, яка підписала тендерну пропозицію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не більше місячної давнини відносно дати подання тендерних пропозицій. </w:t>
            </w:r>
          </w:p>
          <w:p w14:paraId="7CDFD454" w14:textId="6887ACF7" w:rsidR="00185067" w:rsidRPr="00005250" w:rsidRDefault="00254086" w:rsidP="00254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Вказаний витяг може бути наданий у вигляді електронного документу (Витяг може засвідчуватись електронною печаткою служби Єдиної інформаційної системи МВС. Кожен витяг може містити (містить) QR-код, по якому можна знайти на відповідний підтвердний запис в електронних ресурсах ІАС</w:t>
            </w:r>
          </w:p>
        </w:tc>
      </w:tr>
      <w:tr w:rsidR="00185067" w:rsidRPr="00005250" w14:paraId="5BB1EE5B" w14:textId="77777777" w:rsidTr="00185067">
        <w:trPr>
          <w:trHeight w:val="16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CDCC" w14:textId="5262801E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DFC7" w14:textId="77777777" w:rsidR="00185067" w:rsidRPr="0000525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04A8B8E0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2C36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185067" w:rsidRPr="001D3671" w14:paraId="0FE72A66" w14:textId="77777777" w:rsidTr="00185067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1F19F" w14:textId="27D9D238" w:rsidR="00185067" w:rsidRPr="00145A40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F556D" w14:textId="77777777" w:rsidR="00185067" w:rsidRPr="0000525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D2D0951" w14:textId="77777777" w:rsidR="00185067" w:rsidRPr="00145A40" w:rsidRDefault="00185067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7E170" w14:textId="77777777" w:rsidR="00254086" w:rsidRPr="00254086" w:rsidRDefault="00254086" w:rsidP="0025408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те, що фізичну особу, яка є учасником, чи службову (посадову) особу учасника, яка підписала тендерну пропозицію 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не більше місячної давнини відносно дати подання тендерних пропозицій. </w:t>
            </w:r>
          </w:p>
          <w:p w14:paraId="6AC7D945" w14:textId="57F05110" w:rsidR="00185067" w:rsidRPr="00005250" w:rsidRDefault="00254086" w:rsidP="0025408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5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Вказаний витяг може бути наданий у вигляді електронного документу (Витяг може засвідчуватись електронною печаткою служби Єдиної інформаційної системи МВС. Кожен витяг може містити (містить) QR-код, по якому можна знайти на відповідний підтвердний запис в електронних ресурсах ІАС</w:t>
            </w:r>
          </w:p>
        </w:tc>
      </w:tr>
      <w:tr w:rsidR="00F1473D" w:rsidRPr="00254086" w14:paraId="53242FAB" w14:textId="77777777" w:rsidTr="00185067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481F" w14:textId="6A628795" w:rsidR="00F1473D" w:rsidRPr="00145A40" w:rsidRDefault="00F1473D" w:rsidP="00F147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A887" w14:textId="77777777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14:paraId="033EFFAA" w14:textId="77777777" w:rsidR="00F1473D" w:rsidRPr="00145A40" w:rsidRDefault="00F1473D" w:rsidP="00F147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13 частини 1 статті 17 Закону)</w:t>
            </w:r>
          </w:p>
          <w:p w14:paraId="22E2CE36" w14:textId="77777777" w:rsidR="00F1473D" w:rsidRPr="00005250" w:rsidRDefault="00F1473D" w:rsidP="00F147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539E" w14:textId="77777777" w:rsidR="00F1473D" w:rsidRPr="00D00F08" w:rsidRDefault="00F1473D" w:rsidP="00F1473D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Замовник самостійно перевіряє інформацію, що є доступною в електронній системі </w:t>
            </w:r>
            <w:proofErr w:type="spellStart"/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D0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C17BE38" w14:textId="77777777" w:rsidR="00E433C0" w:rsidRPr="00E433C0" w:rsidRDefault="00E433C0" w:rsidP="00E433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Щодо переможця стосовно якого в електронній системі </w:t>
            </w:r>
            <w:proofErr w:type="spellStart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буде сформована довідка (квитанція) про наявність заборгованості із сплати податків і зборів (обов’язкових платежів) замовник перевіряє інформацію про розстрочення (відстрочення) такої заборгованості відповідним органом в реєстрі заяв про розстрочення, відстрочення грошового зобов’язання чи податкового боргу.</w:t>
            </w:r>
          </w:p>
          <w:p w14:paraId="680FCBA6" w14:textId="77777777" w:rsidR="00F1473D" w:rsidRDefault="00E433C0" w:rsidP="00E433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Переможець стосовно якого в електронній системі </w:t>
            </w:r>
            <w:proofErr w:type="spellStart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433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буде сформована довідка (квитанція) про наявність заборгованості із сплати податків і зборів (обов’язкових платежів), який не здійснив розстрочення (відстрочення) такої заборгованості відповідним органом, може надати нову, чинну, сформовану більш пізньою датою та/або часом, довідку з податкової служби про відсутність податкової заборгованості.</w:t>
            </w:r>
          </w:p>
          <w:p w14:paraId="14FD43F1" w14:textId="410489A1" w:rsidR="00953146" w:rsidRPr="004A0262" w:rsidRDefault="00953146" w:rsidP="00E433C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якщо в електронній системі </w:t>
            </w:r>
            <w:proofErr w:type="spellStart"/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не сформовано довідку (квитанцію) про наявність/відсутність заборгованості із сплати податків і зборів (обов’язкових платежів), переможець надає довідку про наявність/відсутність заборгованості </w:t>
            </w:r>
            <w:r w:rsidRPr="005C40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із сплати податків і зборів (обов’язкових платежів), видану уповноваженим на видачу таких довідок органом, що діє станом на дату  подання документа. У випадку наявності в довідці інформації про заборгованість із сплати податків і зборів (обов’язкових платежів) замовник перевіряє інформацію про розстрочення (відстрочення) такої заборгованості відповідним органом в реєстрі заяв про розстрочення, відстрочення грошового зобов’язання чи податкового боргу.</w:t>
            </w:r>
          </w:p>
        </w:tc>
      </w:tr>
      <w:tr w:rsidR="00F1473D" w:rsidRPr="00254086" w14:paraId="37BACFF1" w14:textId="77777777" w:rsidTr="00D128C0">
        <w:trPr>
          <w:trHeight w:val="8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59906" w14:textId="60F845C7" w:rsidR="00F1473D" w:rsidRPr="00145A40" w:rsidRDefault="00F1473D" w:rsidP="00F147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C5638" w14:textId="77777777" w:rsidR="00F1473D" w:rsidRPr="00005250" w:rsidRDefault="00F1473D" w:rsidP="00F147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754706B" w14:textId="77777777" w:rsidR="00F1473D" w:rsidRPr="00145A40" w:rsidRDefault="00F1473D" w:rsidP="00F147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99D0C" w14:textId="6702DA8A" w:rsidR="00F1473D" w:rsidRPr="00005250" w:rsidRDefault="00F1473D" w:rsidP="00F147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2CD18FCE" w14:textId="534313B2" w:rsidR="008806C6" w:rsidRDefault="008806C6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Документи та інформацію, що підтверджують відсутність підстав, визначених частинами першою і другою ст. 17 Закону та остаточну цінову пропозицію переможець повинен подати замовникові у строк, що не перевищує 10 календарних днів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14:paraId="6B5BDBBC" w14:textId="77777777" w:rsidR="008806C6" w:rsidRDefault="008806C6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6766EBB" w14:textId="77777777" w:rsidR="008806C6" w:rsidRDefault="008806C6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73E6C2B" w14:textId="3E09BBCD" w:rsidR="00D128C0" w:rsidRPr="00145A40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30280B" w:rsidRPr="00005250" w14:paraId="617704B4" w14:textId="77777777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AD5F" w14:textId="77777777" w:rsidR="0030280B" w:rsidRPr="00145A40" w:rsidRDefault="0030280B" w:rsidP="00145A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254086" w14:paraId="74B72417" w14:textId="77777777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1570F" w14:textId="7C3D19CE" w:rsidR="0030280B" w:rsidRPr="00145A40" w:rsidRDefault="00235FFC" w:rsidP="00145A4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5A6A7" w14:textId="77777777" w:rsidR="0030280B" w:rsidRPr="00005250" w:rsidRDefault="0030280B" w:rsidP="00145A4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14:paraId="5CD007D3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074E0" w14:textId="4D5A8060" w:rsidR="0030280B" w:rsidRPr="00145A40" w:rsidRDefault="00235FFC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8C38" w14:textId="372A1384" w:rsidR="0030280B" w:rsidRPr="00005250" w:rsidRDefault="00E40A10" w:rsidP="0018506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254086" w14:paraId="3337CD66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F581" w14:textId="2C1E4D19" w:rsidR="008806C6" w:rsidRDefault="008806C6" w:rsidP="0018506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1448" w14:textId="2D302C40" w:rsidR="008806C6" w:rsidRPr="00E40A10" w:rsidRDefault="008806C6" w:rsidP="00185067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листа-</w:t>
            </w:r>
            <w:proofErr w:type="spellStart"/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гарантїї</w:t>
            </w:r>
            <w:proofErr w:type="spellEnd"/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наступного змісту: «Ми, </w:t>
            </w:r>
            <w:r w:rsidRPr="00D01C2E">
              <w:rPr>
                <w:rStyle w:val="ae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</w:t>
            </w:r>
            <w:proofErr w:type="spellStart"/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806C6"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  <w:t>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14:paraId="7C535EBC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6BE2" w14:textId="72418C55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E9F55" w14:textId="5406CFDF" w:rsidR="008806C6" w:rsidRPr="008806C6" w:rsidRDefault="008806C6" w:rsidP="008806C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14:paraId="5588F748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99A6" w14:textId="57B181DA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85D88" w14:textId="48E6C763" w:rsidR="008806C6" w:rsidRPr="008806C6" w:rsidRDefault="008806C6" w:rsidP="008806C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Проект договору </w:t>
            </w:r>
            <w:proofErr w:type="spellStart"/>
            <w:r w:rsidRPr="00854E30">
              <w:rPr>
                <w:rFonts w:ascii="Times New Roman" w:hAnsi="Times New Roman"/>
              </w:rPr>
              <w:t>згідно</w:t>
            </w:r>
            <w:proofErr w:type="spellEnd"/>
            <w:r w:rsidRPr="00854E30">
              <w:rPr>
                <w:rFonts w:ascii="Times New Roman" w:hAnsi="Times New Roman"/>
              </w:rPr>
              <w:t xml:space="preserve"> з </w:t>
            </w:r>
            <w:proofErr w:type="spellStart"/>
            <w:r w:rsidRPr="00854E30">
              <w:rPr>
                <w:rFonts w:ascii="Times New Roman" w:hAnsi="Times New Roman"/>
              </w:rPr>
              <w:t>Додатком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5</w:t>
            </w:r>
            <w:r w:rsidRPr="00854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8806C6" w14:paraId="247C0CCD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55C1" w14:textId="4FCF7477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3CA99" w14:textId="269F4A87" w:rsidR="008806C6" w:rsidRPr="00854E30" w:rsidRDefault="008806C6" w:rsidP="008806C6">
            <w:pPr>
              <w:spacing w:line="252" w:lineRule="auto"/>
              <w:ind w:left="113" w:right="132"/>
              <w:jc w:val="both"/>
              <w:rPr>
                <w:rFonts w:ascii="Times New Roman" w:hAnsi="Times New Roman"/>
              </w:rPr>
            </w:pPr>
            <w:r w:rsidRPr="00854E30">
              <w:rPr>
                <w:rFonts w:ascii="Times New Roman" w:hAnsi="Times New Roman"/>
              </w:rPr>
              <w:t>Лист-</w:t>
            </w:r>
            <w:proofErr w:type="spellStart"/>
            <w:r w:rsidRPr="00854E30">
              <w:rPr>
                <w:rFonts w:ascii="Times New Roman" w:hAnsi="Times New Roman"/>
              </w:rPr>
              <w:t>згода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обробку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персональних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даних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(</w:t>
            </w:r>
            <w:proofErr w:type="spellStart"/>
            <w:r w:rsidRPr="00854E30">
              <w:rPr>
                <w:rFonts w:ascii="Times New Roman" w:hAnsi="Times New Roman"/>
              </w:rPr>
              <w:t>надається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керівника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 а </w:t>
            </w:r>
            <w:proofErr w:type="spellStart"/>
            <w:r w:rsidRPr="00854E30">
              <w:rPr>
                <w:rFonts w:ascii="Times New Roman" w:hAnsi="Times New Roman"/>
              </w:rPr>
              <w:t>також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посадову</w:t>
            </w:r>
            <w:proofErr w:type="spellEnd"/>
            <w:r w:rsidRPr="00854E30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854E30">
              <w:rPr>
                <w:rFonts w:ascii="Times New Roman" w:hAnsi="Times New Roman"/>
              </w:rPr>
              <w:t>учасника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, яка </w:t>
            </w:r>
            <w:proofErr w:type="spellStart"/>
            <w:r w:rsidRPr="00854E30">
              <w:rPr>
                <w:rFonts w:ascii="Times New Roman" w:hAnsi="Times New Roman"/>
              </w:rPr>
              <w:t>призначена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підписання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тендерних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документів</w:t>
            </w:r>
            <w:proofErr w:type="spellEnd"/>
            <w:r w:rsidRPr="00854E30">
              <w:rPr>
                <w:rFonts w:ascii="Times New Roman" w:hAnsi="Times New Roman"/>
              </w:rPr>
              <w:t>) (</w:t>
            </w:r>
            <w:proofErr w:type="spellStart"/>
            <w:r w:rsidRPr="00854E30">
              <w:rPr>
                <w:rFonts w:ascii="Times New Roman" w:hAnsi="Times New Roman"/>
              </w:rPr>
              <w:t>Додаток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4</w:t>
            </w:r>
            <w:r w:rsidRPr="00854E30">
              <w:rPr>
                <w:rFonts w:ascii="Times New Roman" w:hAnsi="Times New Roman"/>
              </w:rPr>
              <w:t>).</w:t>
            </w:r>
          </w:p>
          <w:p w14:paraId="2A94AB4A" w14:textId="77777777" w:rsidR="008806C6" w:rsidRPr="008806C6" w:rsidRDefault="008806C6" w:rsidP="008806C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06C6" w:rsidRPr="008806C6" w14:paraId="3918A0D8" w14:textId="77777777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278D" w14:textId="64B3E520" w:rsidR="008806C6" w:rsidRDefault="008806C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B03AB" w14:textId="6469EC0B" w:rsidR="008806C6" w:rsidRPr="008806C6" w:rsidRDefault="008806C6" w:rsidP="008806C6">
            <w:pPr>
              <w:spacing w:line="252" w:lineRule="auto"/>
              <w:ind w:left="113" w:right="132"/>
              <w:jc w:val="both"/>
              <w:rPr>
                <w:rStyle w:val="ae"/>
                <w:rFonts w:ascii="Times New Roman" w:hAnsi="Times New Roman"/>
                <w:b w:val="0"/>
                <w:bCs w:val="0"/>
              </w:rPr>
            </w:pPr>
            <w:proofErr w:type="spellStart"/>
            <w:r w:rsidRPr="00854E30">
              <w:rPr>
                <w:rFonts w:ascii="Times New Roman" w:hAnsi="Times New Roman"/>
              </w:rPr>
              <w:t>Довідка</w:t>
            </w:r>
            <w:proofErr w:type="spellEnd"/>
            <w:r w:rsidRPr="00854E30">
              <w:rPr>
                <w:rFonts w:ascii="Times New Roman" w:hAnsi="Times New Roman"/>
              </w:rPr>
              <w:t xml:space="preserve"> у </w:t>
            </w:r>
            <w:proofErr w:type="spellStart"/>
            <w:r w:rsidRPr="00854E30">
              <w:rPr>
                <w:rFonts w:ascii="Times New Roman" w:hAnsi="Times New Roman"/>
              </w:rPr>
              <w:t>довільній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формі</w:t>
            </w:r>
            <w:proofErr w:type="spellEnd"/>
            <w:r w:rsidRPr="00854E30">
              <w:rPr>
                <w:rFonts w:ascii="Times New Roman" w:hAnsi="Times New Roman"/>
              </w:rPr>
              <w:t xml:space="preserve">, в </w:t>
            </w:r>
            <w:proofErr w:type="spellStart"/>
            <w:r w:rsidRPr="00854E30">
              <w:rPr>
                <w:rFonts w:ascii="Times New Roman" w:hAnsi="Times New Roman"/>
              </w:rPr>
              <w:t>якій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Учасник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гарантує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застосування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із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захисту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довкілля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під</w:t>
            </w:r>
            <w:proofErr w:type="spellEnd"/>
            <w:r w:rsidRPr="00854E30">
              <w:rPr>
                <w:rFonts w:ascii="Times New Roman" w:hAnsi="Times New Roman"/>
              </w:rPr>
              <w:t xml:space="preserve"> час </w:t>
            </w:r>
            <w:proofErr w:type="spellStart"/>
            <w:r w:rsidRPr="00854E30">
              <w:rPr>
                <w:rFonts w:ascii="Times New Roman" w:hAnsi="Times New Roman"/>
              </w:rPr>
              <w:t>виконання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умов договору.</w:t>
            </w:r>
          </w:p>
        </w:tc>
      </w:tr>
      <w:tr w:rsidR="008806C6" w:rsidRPr="008806C6" w14:paraId="60EC2DEC" w14:textId="77777777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DA4F" w14:textId="2D7E72F5" w:rsidR="008806C6" w:rsidRDefault="00E07786" w:rsidP="008806C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DA52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14:paraId="3C544EF6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14:paraId="0965FEAC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14:paraId="28E7D504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14:paraId="60E3CDB2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14:paraId="1E571E4D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14:paraId="0F323463" w14:textId="77777777" w:rsidR="00E07786" w:rsidRPr="00E0778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14:paraId="7D0FC457" w14:textId="14106739" w:rsidR="008806C6" w:rsidRPr="008806C6" w:rsidRDefault="00E07786" w:rsidP="00E07786">
            <w:pPr>
              <w:spacing w:after="0" w:line="240" w:lineRule="auto"/>
              <w:ind w:left="120" w:right="120" w:hanging="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</w:tbl>
    <w:p w14:paraId="785CD2B1" w14:textId="77777777" w:rsidR="00A23DA5" w:rsidRPr="002E14E9" w:rsidRDefault="00A23DA5" w:rsidP="00A269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bookmarkStart w:id="3" w:name="_GoBack"/>
      <w:bookmarkEnd w:id="3"/>
    </w:p>
    <w:sectPr w:rsidR="00A23DA5" w:rsidRPr="002E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2"/>
    <w:rsid w:val="00005250"/>
    <w:rsid w:val="00013984"/>
    <w:rsid w:val="00015F1F"/>
    <w:rsid w:val="00037C19"/>
    <w:rsid w:val="00047201"/>
    <w:rsid w:val="00084DE0"/>
    <w:rsid w:val="000865ED"/>
    <w:rsid w:val="000A2CFB"/>
    <w:rsid w:val="000C3321"/>
    <w:rsid w:val="000D793D"/>
    <w:rsid w:val="000E255C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6C44"/>
    <w:rsid w:val="00526E92"/>
    <w:rsid w:val="00542C05"/>
    <w:rsid w:val="00550F82"/>
    <w:rsid w:val="0057449D"/>
    <w:rsid w:val="0057561B"/>
    <w:rsid w:val="00586846"/>
    <w:rsid w:val="00586C01"/>
    <w:rsid w:val="00590F6C"/>
    <w:rsid w:val="00591318"/>
    <w:rsid w:val="005920C8"/>
    <w:rsid w:val="005A42D7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7281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A4F"/>
    <w:rsid w:val="00EA5186"/>
    <w:rsid w:val="00EC47A7"/>
    <w:rsid w:val="00EE0079"/>
    <w:rsid w:val="00EF26A6"/>
    <w:rsid w:val="00F05515"/>
    <w:rsid w:val="00F1417E"/>
    <w:rsid w:val="00F1473D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2C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2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2CA9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084DE0"/>
    <w:rPr>
      <w:b/>
      <w:bCs/>
    </w:rPr>
  </w:style>
  <w:style w:type="table" w:styleId="af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76CE-B623-4ADE-92A7-CBE775F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10</Pages>
  <Words>13424</Words>
  <Characters>7652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Настя бажецька</cp:lastModifiedBy>
  <cp:revision>233</cp:revision>
  <dcterms:created xsi:type="dcterms:W3CDTF">2020-04-07T14:53:00Z</dcterms:created>
  <dcterms:modified xsi:type="dcterms:W3CDTF">2022-07-28T11:38:00Z</dcterms:modified>
</cp:coreProperties>
</file>