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F1" w:rsidRDefault="000C42F1">
      <w:pPr>
        <w:jc w:val="right"/>
        <w:rPr>
          <w:b/>
          <w:i/>
          <w:color w:val="4A86E8"/>
          <w:sz w:val="22"/>
          <w:szCs w:val="22"/>
        </w:rPr>
      </w:pPr>
    </w:p>
    <w:p w:rsidR="000C42F1" w:rsidRDefault="002B1832" w:rsidP="009039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Договір № ________</w:t>
      </w:r>
    </w:p>
    <w:p w:rsidR="000C42F1" w:rsidRDefault="000C42F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b/>
          <w:color w:val="000000"/>
          <w:sz w:val="22"/>
          <w:szCs w:val="22"/>
        </w:rPr>
      </w:pPr>
    </w:p>
    <w:p w:rsidR="000C42F1" w:rsidRDefault="009039E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м. Первомайськ</w:t>
      </w:r>
      <w:r w:rsidR="002B1832">
        <w:rPr>
          <w:b/>
          <w:color w:val="000000"/>
          <w:sz w:val="22"/>
          <w:szCs w:val="22"/>
        </w:rPr>
        <w:t xml:space="preserve">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</w:t>
      </w:r>
      <w:r w:rsidR="00F324BF">
        <w:rPr>
          <w:b/>
          <w:color w:val="000000"/>
          <w:sz w:val="22"/>
          <w:szCs w:val="22"/>
        </w:rPr>
        <w:t xml:space="preserve">   ___ __________ 2024</w:t>
      </w:r>
      <w:r w:rsidR="002B1832">
        <w:rPr>
          <w:b/>
          <w:color w:val="000000"/>
          <w:sz w:val="22"/>
          <w:szCs w:val="22"/>
        </w:rPr>
        <w:t xml:space="preserve"> року</w:t>
      </w:r>
    </w:p>
    <w:p w:rsidR="000C42F1" w:rsidRDefault="000C42F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color w:val="000000"/>
          <w:sz w:val="22"/>
          <w:szCs w:val="22"/>
        </w:rPr>
      </w:pPr>
    </w:p>
    <w:p w:rsidR="000C42F1" w:rsidRDefault="002B183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Постачальник:</w:t>
      </w:r>
      <w:r>
        <w:rPr>
          <w:color w:val="000000"/>
          <w:sz w:val="22"/>
          <w:szCs w:val="22"/>
        </w:rPr>
        <w:t xml:space="preserve"> _____________________________________</w:t>
      </w:r>
      <w:r>
        <w:rPr>
          <w:color w:val="000000"/>
          <w:sz w:val="22"/>
          <w:szCs w:val="22"/>
        </w:rPr>
        <w:t>_____________ в особі _______________________________________</w:t>
      </w:r>
      <w:r>
        <w:rPr>
          <w:color w:val="000000"/>
        </w:rPr>
        <w:t>,</w:t>
      </w:r>
      <w:r>
        <w:rPr>
          <w:color w:val="000000"/>
          <w:sz w:val="22"/>
          <w:szCs w:val="22"/>
        </w:rPr>
        <w:t xml:space="preserve"> що діє на підставі __________________</w:t>
      </w:r>
      <w:r>
        <w:rPr>
          <w:color w:val="000000"/>
          <w:sz w:val="22"/>
          <w:szCs w:val="22"/>
          <w:highlight w:val="white"/>
        </w:rPr>
        <w:t xml:space="preserve">, </w:t>
      </w:r>
      <w:r>
        <w:rPr>
          <w:color w:val="000000"/>
          <w:sz w:val="22"/>
          <w:szCs w:val="22"/>
        </w:rPr>
        <w:t xml:space="preserve">з однієї сторони, та </w:t>
      </w:r>
      <w:r>
        <w:rPr>
          <w:b/>
          <w:color w:val="000000"/>
          <w:sz w:val="22"/>
          <w:szCs w:val="22"/>
        </w:rPr>
        <w:t>Покупець</w:t>
      </w:r>
      <w:r w:rsidR="00403EBD" w:rsidRPr="00403EBD">
        <w:rPr>
          <w:b/>
          <w:color w:val="000000"/>
          <w:sz w:val="22"/>
          <w:szCs w:val="22"/>
        </w:rPr>
        <w:t xml:space="preserve"> </w:t>
      </w:r>
      <w:r w:rsidR="00403EBD">
        <w:rPr>
          <w:b/>
          <w:color w:val="000000"/>
          <w:sz w:val="22"/>
          <w:szCs w:val="22"/>
        </w:rPr>
        <w:t>Комунальне підприємство «Первомайське управління водопровідно-каналізаційного господарства»</w:t>
      </w:r>
      <w:r w:rsidR="00403EBD">
        <w:rPr>
          <w:color w:val="000000"/>
          <w:sz w:val="22"/>
          <w:szCs w:val="22"/>
        </w:rPr>
        <w:t xml:space="preserve"> в особі</w:t>
      </w:r>
      <w:r w:rsidR="007A6D29">
        <w:rPr>
          <w:color w:val="000000"/>
          <w:sz w:val="22"/>
          <w:szCs w:val="22"/>
        </w:rPr>
        <w:t xml:space="preserve"> керівника</w:t>
      </w:r>
      <w:r w:rsidR="00403EBD">
        <w:rPr>
          <w:color w:val="000000"/>
          <w:sz w:val="22"/>
          <w:szCs w:val="22"/>
        </w:rPr>
        <w:t xml:space="preserve"> </w:t>
      </w:r>
      <w:r w:rsidR="007A6D29">
        <w:rPr>
          <w:color w:val="000000"/>
          <w:sz w:val="22"/>
          <w:szCs w:val="22"/>
        </w:rPr>
        <w:t xml:space="preserve">- </w:t>
      </w:r>
      <w:proofErr w:type="spellStart"/>
      <w:r w:rsidR="00403EBD">
        <w:rPr>
          <w:color w:val="000000"/>
          <w:sz w:val="22"/>
          <w:szCs w:val="22"/>
        </w:rPr>
        <w:t>Шевцова</w:t>
      </w:r>
      <w:proofErr w:type="spellEnd"/>
      <w:r w:rsidR="00403EBD">
        <w:rPr>
          <w:color w:val="000000"/>
          <w:sz w:val="22"/>
          <w:szCs w:val="22"/>
        </w:rPr>
        <w:t xml:space="preserve"> Євгенія Петровича</w:t>
      </w:r>
      <w:r>
        <w:rPr>
          <w:color w:val="000000"/>
          <w:sz w:val="22"/>
          <w:szCs w:val="22"/>
        </w:rPr>
        <w:t>,</w:t>
      </w:r>
      <w:r w:rsidR="007A6D29">
        <w:rPr>
          <w:color w:val="000000"/>
          <w:sz w:val="22"/>
          <w:szCs w:val="22"/>
        </w:rPr>
        <w:t xml:space="preserve"> виконуючого обов’язки директора,</w:t>
      </w:r>
      <w:r>
        <w:rPr>
          <w:color w:val="000000"/>
          <w:sz w:val="22"/>
          <w:szCs w:val="22"/>
        </w:rPr>
        <w:t xml:space="preserve"> що діє на підставі</w:t>
      </w:r>
      <w:r w:rsidR="00403EBD">
        <w:rPr>
          <w:color w:val="222222"/>
          <w:sz w:val="22"/>
          <w:szCs w:val="22"/>
        </w:rPr>
        <w:t xml:space="preserve"> Статуту</w:t>
      </w:r>
      <w:r>
        <w:rPr>
          <w:color w:val="000000"/>
          <w:sz w:val="22"/>
          <w:szCs w:val="22"/>
        </w:rPr>
        <w:t xml:space="preserve">, з другої сторони, надалі разом іменовані «Сторони», уклали цей договір про закупівлю програмного забезпечення (далі </w:t>
      </w:r>
      <w:r>
        <w:rPr>
          <w:sz w:val="22"/>
          <w:szCs w:val="22"/>
        </w:rPr>
        <w:t>—</w:t>
      </w:r>
      <w:r>
        <w:rPr>
          <w:color w:val="000000"/>
          <w:sz w:val="22"/>
          <w:szCs w:val="22"/>
        </w:rPr>
        <w:t xml:space="preserve"> Договір) про нижченаведене:</w:t>
      </w:r>
    </w:p>
    <w:p w:rsidR="000C42F1" w:rsidRDefault="000C42F1">
      <w:pPr>
        <w:tabs>
          <w:tab w:val="left" w:pos="708"/>
        </w:tabs>
        <w:jc w:val="both"/>
        <w:rPr>
          <w:b/>
          <w:sz w:val="22"/>
          <w:szCs w:val="22"/>
        </w:rPr>
      </w:pPr>
    </w:p>
    <w:p w:rsidR="000C42F1" w:rsidRDefault="002B1832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ДОГОВОРУ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У порядку та на умовах, визначених цим Договором, Постачальник бере на себе зобов'язання своїми силами й засобами, на власний ризик поставити Покупцю програмну продукцію — </w:t>
      </w:r>
      <w:r>
        <w:rPr>
          <w:b/>
          <w:sz w:val="22"/>
          <w:szCs w:val="22"/>
        </w:rPr>
        <w:t>Портал РАДНИК у сфері публічних закупівель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код за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ДК</w:t>
      </w:r>
      <w:proofErr w:type="spellEnd"/>
      <w:r>
        <w:rPr>
          <w:b/>
          <w:sz w:val="22"/>
          <w:szCs w:val="22"/>
        </w:rPr>
        <w:t xml:space="preserve"> 021:2015 – 48480000-6 Пак</w:t>
      </w:r>
      <w:r>
        <w:rPr>
          <w:b/>
          <w:sz w:val="22"/>
          <w:szCs w:val="22"/>
        </w:rPr>
        <w:t xml:space="preserve">ети програмного забезпечення для продажу та реалізації продукції і бізнес-аналітики </w:t>
      </w:r>
      <w:r>
        <w:rPr>
          <w:sz w:val="22"/>
          <w:szCs w:val="22"/>
        </w:rPr>
        <w:t>(далі — Портал РАДНИК), а Покупець зобов'язується прийняти та оплатити Портал РАДНИК у строки та на умовах, встановлених цим Договором.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1.2. Постачальник протягом строку ко</w:t>
      </w:r>
      <w:r>
        <w:rPr>
          <w:sz w:val="22"/>
          <w:szCs w:val="22"/>
        </w:rPr>
        <w:t xml:space="preserve">ристування Порталом РАДНИК безкоштовно надає технічну та консультативну підтримку, забезпечує здійснення доступу до системи в будь-який час з будь-якого комп’ютерного пристрою через мережу Інтернет. 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1.3. Майнові права на портал РАДНИК не передаються Покуп</w:t>
      </w:r>
      <w:r>
        <w:rPr>
          <w:sz w:val="22"/>
          <w:szCs w:val="22"/>
        </w:rPr>
        <w:t>цю, при цьому майнові та авторські права на Портал РАДНИК залишаються у Постачальника, а Покупцю надається право користування Порталом РАДНИК без права передачі самого Порталу РАДНИК та/або повноважень на його користування третім особам.</w:t>
      </w:r>
    </w:p>
    <w:p w:rsidR="000C42F1" w:rsidRDefault="000C42F1">
      <w:pPr>
        <w:tabs>
          <w:tab w:val="left" w:pos="708"/>
        </w:tabs>
        <w:jc w:val="both"/>
        <w:rPr>
          <w:sz w:val="22"/>
          <w:szCs w:val="22"/>
        </w:rPr>
      </w:pPr>
    </w:p>
    <w:p w:rsidR="000C42F1" w:rsidRDefault="002B1832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ЦІНА ДОГОВОРУ ТА ПОРЯДОК РОЗРАХУНКІВ</w:t>
      </w:r>
    </w:p>
    <w:p w:rsidR="000C42F1" w:rsidRDefault="002B1832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2.1. Ціна Договору становить </w:t>
      </w:r>
      <w:r>
        <w:rPr>
          <w:b/>
          <w:sz w:val="22"/>
          <w:szCs w:val="22"/>
        </w:rPr>
        <w:t xml:space="preserve">_____________ </w:t>
      </w:r>
      <w:proofErr w:type="spellStart"/>
      <w:r>
        <w:rPr>
          <w:b/>
          <w:sz w:val="22"/>
          <w:szCs w:val="22"/>
        </w:rPr>
        <w:t>грн</w:t>
      </w:r>
      <w:proofErr w:type="spellEnd"/>
      <w:r>
        <w:rPr>
          <w:b/>
          <w:sz w:val="22"/>
          <w:szCs w:val="22"/>
        </w:rPr>
        <w:t xml:space="preserve"> (_______________________________) з/без ПДВ</w:t>
      </w:r>
      <w:r>
        <w:rPr>
          <w:sz w:val="22"/>
          <w:szCs w:val="22"/>
        </w:rPr>
        <w:t>.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 Ціна Договору (загальна вартість Порталу РАДНИК за Договором) визначена з урахуванням усіх витрат Постачальника, які не</w:t>
      </w:r>
      <w:r>
        <w:rPr>
          <w:sz w:val="22"/>
          <w:szCs w:val="22"/>
        </w:rPr>
        <w:t>обхідно понести Постачальнику у зв'язку з виконанням Договору, у тому числі податків і зборів та інших витрат, понесених Постачальником.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color w:val="0D0D0D"/>
          <w:sz w:val="22"/>
          <w:szCs w:val="22"/>
        </w:rPr>
        <w:t xml:space="preserve">2.3. </w:t>
      </w:r>
      <w:r>
        <w:rPr>
          <w:sz w:val="22"/>
          <w:szCs w:val="22"/>
        </w:rPr>
        <w:t>Покупець проводить оплату вартості Порталу РАДНИК на підставі рахунку та/або видаткової накладної шляхом перерахув</w:t>
      </w:r>
      <w:r>
        <w:rPr>
          <w:sz w:val="22"/>
          <w:szCs w:val="22"/>
        </w:rPr>
        <w:t xml:space="preserve">ання коштів на розрахунковий рахунок Постачальника. </w:t>
      </w:r>
    </w:p>
    <w:p w:rsidR="000C42F1" w:rsidRDefault="002B1832">
      <w:pPr>
        <w:tabs>
          <w:tab w:val="left" w:pos="708"/>
        </w:tabs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2.4. Усі розрахунки за Договором здійснюються у гривнях.</w:t>
      </w:r>
    </w:p>
    <w:p w:rsidR="000C42F1" w:rsidRDefault="000C42F1">
      <w:pPr>
        <w:tabs>
          <w:tab w:val="left" w:pos="708"/>
        </w:tabs>
        <w:jc w:val="both"/>
        <w:rPr>
          <w:sz w:val="22"/>
          <w:szCs w:val="22"/>
        </w:rPr>
      </w:pPr>
    </w:p>
    <w:p w:rsidR="000C42F1" w:rsidRDefault="002B1832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ОБОВ'ЯЗКИ СТОРІН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3.1. Покупець зобов'язаний: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Своєчасно та в повному обсязі оплачувати поставлений Портал РАДНИК; 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 Постачальник зоб</w:t>
      </w:r>
      <w:r>
        <w:rPr>
          <w:sz w:val="22"/>
          <w:szCs w:val="22"/>
        </w:rPr>
        <w:t>ов'язаний: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3.2.1. Забезпечити постачання Порталу РАДНИК у строки та на умовах, встановлених цим Договором;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Забезпечити постачання Порталу РАДНИК, якість якого відповідає вимогам, установленим умовами цього Договору та законодавства України, чинного </w:t>
      </w:r>
      <w:r>
        <w:rPr>
          <w:sz w:val="22"/>
          <w:szCs w:val="22"/>
        </w:rPr>
        <w:t>на момент постачання Порталу РАДНИК;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3.2.3. Виконувати інші обов'язки, передбачені цим Договором або чинним законодавством України.</w:t>
      </w:r>
    </w:p>
    <w:p w:rsidR="000C42F1" w:rsidRDefault="000C42F1">
      <w:pPr>
        <w:tabs>
          <w:tab w:val="left" w:pos="708"/>
        </w:tabs>
        <w:jc w:val="both"/>
        <w:rPr>
          <w:sz w:val="22"/>
          <w:szCs w:val="22"/>
        </w:rPr>
      </w:pPr>
    </w:p>
    <w:p w:rsidR="000C42F1" w:rsidRDefault="002B1832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СТРОК ДІЇ ДОГОВОРУ</w:t>
      </w:r>
    </w:p>
    <w:p w:rsidR="000C42F1" w:rsidRDefault="002B1832">
      <w:pPr>
        <w:tabs>
          <w:tab w:val="left" w:pos="708"/>
        </w:tabs>
        <w:jc w:val="both"/>
        <w:rPr>
          <w:color w:val="0D0D0D"/>
          <w:sz w:val="22"/>
          <w:szCs w:val="22"/>
        </w:rPr>
      </w:pPr>
      <w:r>
        <w:rPr>
          <w:sz w:val="22"/>
          <w:szCs w:val="22"/>
        </w:rPr>
        <w:t>4.1. Договір набирає чинності і вважається укладеним з моменту його п</w:t>
      </w:r>
      <w:r w:rsidR="009039E3">
        <w:rPr>
          <w:sz w:val="22"/>
          <w:szCs w:val="22"/>
        </w:rPr>
        <w:t>ідписання Сторонами та діє по 31 грудня 2024</w:t>
      </w:r>
      <w:r>
        <w:rPr>
          <w:sz w:val="22"/>
          <w:szCs w:val="22"/>
        </w:rPr>
        <w:t xml:space="preserve"> року, </w:t>
      </w:r>
      <w:r>
        <w:rPr>
          <w:color w:val="0D0D0D"/>
          <w:sz w:val="22"/>
          <w:szCs w:val="22"/>
        </w:rPr>
        <w:t xml:space="preserve">але в будь-якому разі до повного виконання </w:t>
      </w:r>
      <w:r>
        <w:rPr>
          <w:sz w:val="22"/>
          <w:szCs w:val="22"/>
        </w:rPr>
        <w:t>Сторонами</w:t>
      </w:r>
      <w:r>
        <w:rPr>
          <w:color w:val="0D0D0D"/>
          <w:sz w:val="22"/>
          <w:szCs w:val="22"/>
        </w:rPr>
        <w:t xml:space="preserve"> зобов’язань за цим Договором.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 Внесення змі</w:t>
      </w:r>
      <w:r>
        <w:rPr>
          <w:sz w:val="22"/>
          <w:szCs w:val="22"/>
        </w:rPr>
        <w:t>н і доповнень до Договору, а також розірвання Договору чи інше припинення зобов'язань за Договором здійснюються шляхом проведення переговорів, які оформлюються в письмовій формі шляхом укладення додаткової угоди до договору, за виключенням випадків, передб</w:t>
      </w:r>
      <w:r>
        <w:rPr>
          <w:sz w:val="22"/>
          <w:szCs w:val="22"/>
        </w:rPr>
        <w:t>ачених Договором.</w:t>
      </w:r>
    </w:p>
    <w:p w:rsidR="000C42F1" w:rsidRDefault="000C42F1">
      <w:pPr>
        <w:tabs>
          <w:tab w:val="left" w:pos="708"/>
        </w:tabs>
        <w:jc w:val="both"/>
        <w:rPr>
          <w:sz w:val="22"/>
          <w:szCs w:val="22"/>
        </w:rPr>
      </w:pPr>
    </w:p>
    <w:p w:rsidR="000C42F1" w:rsidRDefault="002B1832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ВІДПОВІДАЛЬНІСТЬ СТОРІН</w:t>
      </w:r>
    </w:p>
    <w:p w:rsidR="000C42F1" w:rsidRDefault="002B1832">
      <w:pPr>
        <w:tabs>
          <w:tab w:val="left" w:pos="708"/>
        </w:tabs>
        <w:jc w:val="both"/>
        <w:rPr>
          <w:color w:val="0D0D0D"/>
          <w:sz w:val="22"/>
          <w:szCs w:val="22"/>
        </w:rPr>
      </w:pPr>
      <w:r>
        <w:rPr>
          <w:sz w:val="22"/>
          <w:szCs w:val="22"/>
        </w:rPr>
        <w:lastRenderedPageBreak/>
        <w:t xml:space="preserve">5.1. </w:t>
      </w:r>
      <w:r>
        <w:rPr>
          <w:color w:val="0D0D0D"/>
          <w:sz w:val="22"/>
          <w:szCs w:val="22"/>
        </w:rPr>
        <w:t>За невиконання або неналежне виконання зобов’язань (умов) Договору Сторони несуть відповідальність згідно із чинним законодавством України.</w:t>
      </w:r>
    </w:p>
    <w:p w:rsidR="000C42F1" w:rsidRDefault="002B1832">
      <w:pPr>
        <w:tabs>
          <w:tab w:val="left" w:pos="708"/>
        </w:tabs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5.2. За прострочення виконання своїх зобов’язань за цим Договором винна сторона сплачує на користь іншої Сторони пеню в розмірі подвійної облікової ставки НБУ від вартості невиконаних зобов’язань за кожний день прострочення.  </w:t>
      </w:r>
    </w:p>
    <w:p w:rsidR="000C42F1" w:rsidRDefault="000C42F1">
      <w:pPr>
        <w:tabs>
          <w:tab w:val="left" w:pos="708"/>
        </w:tabs>
        <w:jc w:val="both"/>
        <w:rPr>
          <w:b/>
          <w:sz w:val="22"/>
          <w:szCs w:val="22"/>
        </w:rPr>
      </w:pPr>
    </w:p>
    <w:p w:rsidR="000C42F1" w:rsidRDefault="002B1832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ОБСТАВИНИ НЕПЕРЕБОРНОЇ СИ</w:t>
      </w:r>
      <w:r>
        <w:rPr>
          <w:b/>
          <w:sz w:val="22"/>
          <w:szCs w:val="22"/>
        </w:rPr>
        <w:t>ЛИ</w:t>
      </w:r>
    </w:p>
    <w:p w:rsidR="000C42F1" w:rsidRDefault="002B183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Сторони звільняються від відповідальності за часткове або повне невиконання зобов</w:t>
      </w:r>
      <w:r>
        <w:rPr>
          <w:sz w:val="22"/>
          <w:szCs w:val="22"/>
        </w:rPr>
        <w:t>'</w:t>
      </w:r>
      <w:r>
        <w:rPr>
          <w:color w:val="000000"/>
          <w:sz w:val="22"/>
          <w:szCs w:val="22"/>
        </w:rPr>
        <w:t xml:space="preserve">язань за Договором, якщо таке невиконання сталося внаслідок обставин непереборної сили (далі по тексту </w:t>
      </w:r>
      <w:r>
        <w:rPr>
          <w:sz w:val="22"/>
          <w:szCs w:val="22"/>
        </w:rPr>
        <w:t>—</w:t>
      </w:r>
      <w:r>
        <w:rPr>
          <w:color w:val="000000"/>
          <w:sz w:val="22"/>
          <w:szCs w:val="22"/>
        </w:rPr>
        <w:t xml:space="preserve"> форс-мажорних обставин).</w:t>
      </w:r>
    </w:p>
    <w:p w:rsidR="000C42F1" w:rsidRDefault="002B183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 Під форс-мажорними обставинами </w:t>
      </w:r>
      <w:r>
        <w:rPr>
          <w:color w:val="000000"/>
          <w:sz w:val="22"/>
          <w:szCs w:val="22"/>
        </w:rPr>
        <w:t>визнаються такі обставини непереборної сили, як пожежі, землетруси, війни, воєнні дії, окупації, терористичні акти, блокади, епідемії, страйки, повені, інші стихійні лиха, які перешкоджають виконанню Сторонами своїх зобов</w:t>
      </w:r>
      <w:r>
        <w:rPr>
          <w:sz w:val="22"/>
          <w:szCs w:val="22"/>
        </w:rPr>
        <w:t>'</w:t>
      </w:r>
      <w:r>
        <w:rPr>
          <w:color w:val="000000"/>
          <w:sz w:val="22"/>
          <w:szCs w:val="22"/>
        </w:rPr>
        <w:t>язань.</w:t>
      </w:r>
    </w:p>
    <w:p w:rsidR="000C42F1" w:rsidRDefault="002B183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Сторона, яка потрапила під дію форс-мажорних обставин та виявилася внаслідок цього неспроможною виконувати зобов</w:t>
      </w:r>
      <w:r>
        <w:rPr>
          <w:sz w:val="22"/>
          <w:szCs w:val="22"/>
        </w:rPr>
        <w:t>'</w:t>
      </w:r>
      <w:r>
        <w:rPr>
          <w:color w:val="000000"/>
          <w:sz w:val="22"/>
          <w:szCs w:val="22"/>
        </w:rPr>
        <w:t>язання за Договором, зобов</w:t>
      </w:r>
      <w:r>
        <w:rPr>
          <w:sz w:val="22"/>
          <w:szCs w:val="22"/>
        </w:rPr>
        <w:t>'</w:t>
      </w:r>
      <w:r>
        <w:rPr>
          <w:color w:val="000000"/>
          <w:sz w:val="22"/>
          <w:szCs w:val="22"/>
        </w:rPr>
        <w:t xml:space="preserve">язана не пізніше ніж за 3 (три) календарні дні з моменту їх виникнення в письмовій формі проінформувати про це </w:t>
      </w:r>
      <w:r>
        <w:rPr>
          <w:color w:val="000000"/>
          <w:sz w:val="22"/>
          <w:szCs w:val="22"/>
        </w:rPr>
        <w:t>іншу Сторону. Несвоєчасне інформування про форс-мажорні обставини позбавляє відповідну Сторону права посилатися на ці обставини.</w:t>
      </w:r>
    </w:p>
    <w:p w:rsidR="000C42F1" w:rsidRDefault="002B183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6.4. Підтвердженням наявності форс-мажорних обставин є довідка, видана компетентним органом за місцезнаходженням Сторони, або в</w:t>
      </w:r>
      <w:r>
        <w:rPr>
          <w:color w:val="000000"/>
          <w:sz w:val="22"/>
          <w:szCs w:val="22"/>
        </w:rPr>
        <w:t>изнання вказаних обставин актами державних органів або органів місцевого самоврядування України на території, яка була піддана дії обставин непереборної сили, або іншого компетентного органу. При виникненні форс-мажорних обставин строки/терміни виконання з</w:t>
      </w:r>
      <w:r>
        <w:rPr>
          <w:color w:val="000000"/>
          <w:sz w:val="22"/>
          <w:szCs w:val="22"/>
        </w:rPr>
        <w:t>обов</w:t>
      </w:r>
      <w:r>
        <w:rPr>
          <w:sz w:val="22"/>
          <w:szCs w:val="22"/>
        </w:rPr>
        <w:t>'</w:t>
      </w:r>
      <w:r>
        <w:rPr>
          <w:color w:val="000000"/>
          <w:sz w:val="22"/>
          <w:szCs w:val="22"/>
        </w:rPr>
        <w:t>язань за Договором відкладаються на час, протягом якого форс-мажорні обставини діють.</w:t>
      </w:r>
    </w:p>
    <w:p w:rsidR="000C42F1" w:rsidRDefault="000C42F1">
      <w:pPr>
        <w:tabs>
          <w:tab w:val="left" w:pos="708"/>
        </w:tabs>
        <w:jc w:val="both"/>
        <w:rPr>
          <w:sz w:val="22"/>
          <w:szCs w:val="22"/>
        </w:rPr>
      </w:pPr>
    </w:p>
    <w:p w:rsidR="000C42F1" w:rsidRDefault="002B1832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ІНШІ УМОВИ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7.1. Будь-які спори та різноманітні тлумачення, які можуть виникнути у зв'язку з виконанням Договору, вирішуються шляхом прямих двосторонніх переговор</w:t>
      </w:r>
      <w:r>
        <w:rPr>
          <w:sz w:val="22"/>
          <w:szCs w:val="22"/>
        </w:rPr>
        <w:t xml:space="preserve">ів між Сторонами, а у випадку </w:t>
      </w:r>
      <w:proofErr w:type="spellStart"/>
      <w:r>
        <w:rPr>
          <w:sz w:val="22"/>
          <w:szCs w:val="22"/>
        </w:rPr>
        <w:t>неврегулювання</w:t>
      </w:r>
      <w:proofErr w:type="spellEnd"/>
      <w:r>
        <w:rPr>
          <w:sz w:val="22"/>
          <w:szCs w:val="22"/>
        </w:rPr>
        <w:t xml:space="preserve"> — у судовому порядку відповідно до правил матеріального та процесуального права України.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9039E3">
        <w:rPr>
          <w:sz w:val="22"/>
          <w:szCs w:val="22"/>
        </w:rPr>
        <w:t>2. Підприємство є платником податків на загальних підставах</w:t>
      </w:r>
      <w:r>
        <w:rPr>
          <w:sz w:val="22"/>
          <w:szCs w:val="22"/>
        </w:rPr>
        <w:t>.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Усі зміни та доповнення є невід'ємними частинами </w:t>
      </w:r>
      <w:r>
        <w:rPr>
          <w:sz w:val="22"/>
          <w:szCs w:val="22"/>
        </w:rPr>
        <w:t>Договору і набирають чинності з моменту після їх підписання особами, які безпосередньо уповноважені Сторонами, якщо інше не буде узгоджене Сторонами.</w:t>
      </w:r>
    </w:p>
    <w:p w:rsidR="000C42F1" w:rsidRDefault="002B1832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7.4. Цей Договір укладено українською мовою у 2 (двох) примірниках, які мають однакову юридичну силу, 1 (о</w:t>
      </w:r>
      <w:r>
        <w:rPr>
          <w:sz w:val="22"/>
          <w:szCs w:val="22"/>
        </w:rPr>
        <w:t>дин) примірник для Покупця та 1 (один) примірник для Постачальника.</w:t>
      </w:r>
    </w:p>
    <w:p w:rsidR="000C42F1" w:rsidRDefault="000C42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b/>
          <w:color w:val="000000"/>
          <w:sz w:val="22"/>
          <w:szCs w:val="22"/>
        </w:rPr>
      </w:pPr>
    </w:p>
    <w:p w:rsidR="000C42F1" w:rsidRDefault="002B1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ПОРЯДОК ТА ПІДСТАВИ ЗМІН УМОВ ДОГОВОРУ</w:t>
      </w:r>
    </w:p>
    <w:p w:rsidR="000C42F1" w:rsidRDefault="002B1832">
      <w:pPr>
        <w:ind w:right="-143"/>
        <w:jc w:val="both"/>
        <w:rPr>
          <w:sz w:val="22"/>
          <w:szCs w:val="22"/>
        </w:rPr>
      </w:pPr>
      <w:bookmarkStart w:id="0" w:name="_heading=h.2jxsxqh" w:colFirst="0" w:colLast="0"/>
      <w:bookmarkEnd w:id="0"/>
      <w:r>
        <w:rPr>
          <w:sz w:val="22"/>
          <w:szCs w:val="22"/>
        </w:rPr>
        <w:t>8.1. 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</w:t>
      </w:r>
      <w:r>
        <w:rPr>
          <w:sz w:val="22"/>
          <w:szCs w:val="22"/>
        </w:rPr>
        <w:t xml:space="preserve">орін </w:t>
      </w:r>
      <w:r>
        <w:rPr>
          <w:i/>
          <w:sz w:val="22"/>
          <w:szCs w:val="22"/>
        </w:rPr>
        <w:t>(за наявності)</w:t>
      </w:r>
      <w:r>
        <w:rPr>
          <w:sz w:val="22"/>
          <w:szCs w:val="22"/>
        </w:rPr>
        <w:t xml:space="preserve"> та є невід’ємною частиною Договору. </w:t>
      </w:r>
    </w:p>
    <w:p w:rsidR="000C42F1" w:rsidRDefault="002B1832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8.2. Підставою для внесення змін до Договору вважається ініціатива (пропозиція) будь-якої із Сторін щодо внесення змін відповідно до умов цього Договору, що не суперечить пункту 8.5. цього розділу. С</w:t>
      </w:r>
      <w:r>
        <w:rPr>
          <w:sz w:val="22"/>
          <w:szCs w:val="22"/>
        </w:rPr>
        <w:t xml:space="preserve">торона договору, яка вважає за необхідне змінити або розірвати договір, повинна надіслати офіційну пропозицію рекомендованим листом про це другій стороні за договором на адресу, у тому числі електронну пошту, що вказана в реквізитах цього Договору. </w:t>
      </w:r>
    </w:p>
    <w:p w:rsidR="000C42F1" w:rsidRDefault="002B1832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8.3. П</w:t>
      </w:r>
      <w:r>
        <w:rPr>
          <w:sz w:val="22"/>
          <w:szCs w:val="22"/>
        </w:rPr>
        <w:t>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</w:t>
      </w:r>
      <w:r>
        <w:rPr>
          <w:sz w:val="22"/>
          <w:szCs w:val="22"/>
        </w:rPr>
        <w:t>овій формі шляхом взаємного листування.</w:t>
      </w:r>
    </w:p>
    <w:p w:rsidR="000C42F1" w:rsidRDefault="002B1832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8.4.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зі Сторін у разі істотного по</w:t>
      </w:r>
      <w:r>
        <w:rPr>
          <w:sz w:val="22"/>
          <w:szCs w:val="22"/>
        </w:rPr>
        <w:t>рушення Договору другою Стороною та в інших випадках, встановлених Договором або законом.</w:t>
      </w:r>
    </w:p>
    <w:p w:rsidR="000C42F1" w:rsidRDefault="002B1832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8.5. Сторони погоджуються, що істотними умовами цього Договору є предмет (найменування, кількість, якість), ціна, строк дії договору. Інші умови договору про закупівл</w:t>
      </w:r>
      <w:r>
        <w:rPr>
          <w:sz w:val="22"/>
          <w:szCs w:val="22"/>
        </w:rPr>
        <w:t>ю істотними не є та можуть змінюватися відповідно до норм Господарського та Цивільного кодексів та цього Договору.</w:t>
      </w:r>
    </w:p>
    <w:p w:rsidR="000C42F1" w:rsidRDefault="000C42F1">
      <w:pPr>
        <w:ind w:right="-143"/>
        <w:jc w:val="both"/>
        <w:rPr>
          <w:sz w:val="22"/>
          <w:szCs w:val="22"/>
        </w:rPr>
      </w:pPr>
    </w:p>
    <w:p w:rsidR="000C42F1" w:rsidRDefault="000C42F1">
      <w:pPr>
        <w:jc w:val="both"/>
        <w:rPr>
          <w:sz w:val="22"/>
          <w:szCs w:val="22"/>
        </w:rPr>
      </w:pPr>
    </w:p>
    <w:p w:rsidR="000C42F1" w:rsidRDefault="002B1832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9. РЕКВІЗИТИ СТОРІН</w:t>
      </w:r>
    </w:p>
    <w:p w:rsidR="000C42F1" w:rsidRDefault="000C42F1">
      <w:pPr>
        <w:tabs>
          <w:tab w:val="left" w:pos="708"/>
        </w:tabs>
        <w:jc w:val="center"/>
        <w:rPr>
          <w:b/>
          <w:sz w:val="22"/>
          <w:szCs w:val="22"/>
        </w:rPr>
      </w:pPr>
    </w:p>
    <w:tbl>
      <w:tblPr>
        <w:tblStyle w:val="ac"/>
        <w:tblW w:w="9951" w:type="dxa"/>
        <w:jc w:val="center"/>
        <w:tblInd w:w="0" w:type="dxa"/>
        <w:tblBorders>
          <w:insideV w:val="dotted" w:sz="4" w:space="0" w:color="000000"/>
        </w:tblBorders>
        <w:tblLayout w:type="fixed"/>
        <w:tblLook w:val="0400"/>
      </w:tblPr>
      <w:tblGrid>
        <w:gridCol w:w="4962"/>
        <w:gridCol w:w="4989"/>
      </w:tblGrid>
      <w:tr w:rsidR="000C42F1">
        <w:trPr>
          <w:trHeight w:val="237"/>
          <w:jc w:val="center"/>
        </w:trPr>
        <w:tc>
          <w:tcPr>
            <w:tcW w:w="49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0C42F1" w:rsidRDefault="002B1832">
            <w:pPr>
              <w:ind w:left="9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ПОКУПЕЦЬ:</w:t>
            </w:r>
          </w:p>
        </w:tc>
        <w:tc>
          <w:tcPr>
            <w:tcW w:w="4989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:rsidR="000C42F1" w:rsidRDefault="002B18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ПОСТАЧАЛЬНИК:</w:t>
            </w:r>
          </w:p>
        </w:tc>
      </w:tr>
      <w:tr w:rsidR="000C42F1">
        <w:trPr>
          <w:trHeight w:val="8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:rsidR="00DF58B1" w:rsidRPr="000F6B5E" w:rsidRDefault="00DF58B1" w:rsidP="00DF58B1">
            <w:pPr>
              <w:pStyle w:val="a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КОМУНАЛЬНЕ ПІДПРИЄСТВО</w:t>
            </w:r>
            <w:r w:rsidRPr="000F6B5E">
              <w:rPr>
                <w:sz w:val="22"/>
                <w:szCs w:val="22"/>
              </w:rPr>
              <w:t xml:space="preserve"> «ПЕРВОМАЙСЬКЕ УПРАВЛІННЯ ВОДОПРОВІДНО-КАНАЛІЗАЦІЙНОГО ГОСПОДАРСТВА»</w:t>
            </w:r>
          </w:p>
          <w:p w:rsidR="00DF58B1" w:rsidRPr="000F6B5E" w:rsidRDefault="00DF58B1" w:rsidP="00DF58B1">
            <w:pPr>
              <w:pStyle w:val="a3"/>
              <w:spacing w:before="0" w:after="0"/>
              <w:rPr>
                <w:b w:val="0"/>
                <w:sz w:val="22"/>
                <w:szCs w:val="22"/>
              </w:rPr>
            </w:pPr>
          </w:p>
          <w:p w:rsidR="00DF58B1" w:rsidRPr="000F6B5E" w:rsidRDefault="00DF58B1" w:rsidP="00DF58B1">
            <w:pPr>
              <w:pStyle w:val="a3"/>
              <w:spacing w:before="0" w:after="0"/>
              <w:rPr>
                <w:b w:val="0"/>
                <w:sz w:val="22"/>
                <w:szCs w:val="22"/>
              </w:rPr>
            </w:pPr>
            <w:r w:rsidRPr="000F6B5E">
              <w:rPr>
                <w:b w:val="0"/>
                <w:sz w:val="22"/>
                <w:szCs w:val="22"/>
              </w:rPr>
              <w:t xml:space="preserve">55210, Миколаївська обл., Первомайський район, </w:t>
            </w:r>
            <w:proofErr w:type="spellStart"/>
            <w:r w:rsidRPr="000F6B5E">
              <w:rPr>
                <w:b w:val="0"/>
                <w:sz w:val="22"/>
                <w:szCs w:val="22"/>
              </w:rPr>
              <w:t>м.Первомайськ</w:t>
            </w:r>
            <w:proofErr w:type="spellEnd"/>
            <w:r w:rsidRPr="000F6B5E">
              <w:rPr>
                <w:b w:val="0"/>
                <w:sz w:val="22"/>
                <w:szCs w:val="22"/>
              </w:rPr>
              <w:t>, вулиця Київська, будинок № 129А</w:t>
            </w:r>
          </w:p>
          <w:p w:rsidR="00DF58B1" w:rsidRPr="000F6B5E" w:rsidRDefault="00DF58B1" w:rsidP="00DF58B1">
            <w:pPr>
              <w:pStyle w:val="a3"/>
              <w:spacing w:before="0" w:after="0"/>
              <w:rPr>
                <w:b w:val="0"/>
                <w:sz w:val="22"/>
                <w:szCs w:val="22"/>
                <w:lang w:val="ru-RU"/>
              </w:rPr>
            </w:pPr>
            <w:r w:rsidRPr="000F6B5E">
              <w:rPr>
                <w:b w:val="0"/>
                <w:sz w:val="22"/>
                <w:szCs w:val="22"/>
              </w:rPr>
              <w:t>UA</w:t>
            </w:r>
            <w:r w:rsidRPr="000F6B5E">
              <w:rPr>
                <w:b w:val="0"/>
                <w:sz w:val="22"/>
                <w:szCs w:val="22"/>
                <w:lang w:val="ru-RU"/>
              </w:rPr>
              <w:t xml:space="preserve"> 073006140000026002500510803</w:t>
            </w:r>
          </w:p>
          <w:p w:rsidR="00DF58B1" w:rsidRPr="000F6B5E" w:rsidRDefault="00DF58B1" w:rsidP="00DF58B1">
            <w:pPr>
              <w:pStyle w:val="a3"/>
              <w:spacing w:before="0" w:after="0"/>
              <w:rPr>
                <w:b w:val="0"/>
                <w:sz w:val="22"/>
                <w:szCs w:val="22"/>
              </w:rPr>
            </w:pPr>
            <w:r w:rsidRPr="000F6B5E">
              <w:rPr>
                <w:b w:val="0"/>
                <w:sz w:val="22"/>
                <w:szCs w:val="22"/>
              </w:rPr>
              <w:t>АТ «</w:t>
            </w:r>
            <w:proofErr w:type="spellStart"/>
            <w:r w:rsidRPr="000F6B5E">
              <w:rPr>
                <w:b w:val="0"/>
                <w:sz w:val="22"/>
                <w:szCs w:val="22"/>
              </w:rPr>
              <w:t>Креді</w:t>
            </w:r>
            <w:proofErr w:type="spellEnd"/>
            <w:r w:rsidRPr="000F6B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F6B5E">
              <w:rPr>
                <w:b w:val="0"/>
                <w:sz w:val="22"/>
                <w:szCs w:val="22"/>
              </w:rPr>
              <w:t>Агріколь</w:t>
            </w:r>
            <w:proofErr w:type="spellEnd"/>
            <w:r w:rsidRPr="000F6B5E">
              <w:rPr>
                <w:b w:val="0"/>
                <w:sz w:val="22"/>
                <w:szCs w:val="22"/>
              </w:rPr>
              <w:t xml:space="preserve"> банк»</w:t>
            </w:r>
          </w:p>
          <w:p w:rsidR="00DF58B1" w:rsidRPr="000F6B5E" w:rsidRDefault="00DF58B1" w:rsidP="00DF58B1">
            <w:pPr>
              <w:pStyle w:val="a3"/>
              <w:spacing w:before="0" w:after="0"/>
              <w:rPr>
                <w:b w:val="0"/>
                <w:sz w:val="22"/>
                <w:szCs w:val="22"/>
              </w:rPr>
            </w:pPr>
            <w:r w:rsidRPr="000F6B5E">
              <w:rPr>
                <w:b w:val="0"/>
                <w:sz w:val="22"/>
                <w:szCs w:val="22"/>
              </w:rPr>
              <w:t>Код ЄДРПОУ 45094848</w:t>
            </w:r>
          </w:p>
          <w:p w:rsidR="00DF58B1" w:rsidRPr="000F6B5E" w:rsidRDefault="00DF58B1" w:rsidP="00DF58B1">
            <w:pPr>
              <w:pStyle w:val="a3"/>
              <w:spacing w:before="0" w:after="0"/>
              <w:rPr>
                <w:b w:val="0"/>
                <w:sz w:val="22"/>
                <w:szCs w:val="22"/>
              </w:rPr>
            </w:pPr>
            <w:r w:rsidRPr="000F6B5E">
              <w:rPr>
                <w:b w:val="0"/>
                <w:sz w:val="22"/>
                <w:szCs w:val="22"/>
              </w:rPr>
              <w:t>ІПН 450948414087</w:t>
            </w:r>
          </w:p>
          <w:p w:rsidR="00DF58B1" w:rsidRPr="007A6D29" w:rsidRDefault="00DF58B1" w:rsidP="00DF58B1">
            <w:pPr>
              <w:rPr>
                <w:sz w:val="22"/>
                <w:szCs w:val="22"/>
              </w:rPr>
            </w:pPr>
            <w:r w:rsidRPr="000F6B5E">
              <w:rPr>
                <w:sz w:val="22"/>
                <w:szCs w:val="22"/>
              </w:rPr>
              <w:t>Тел. (05161) 7-57-10</w:t>
            </w:r>
          </w:p>
          <w:p w:rsidR="00DF58B1" w:rsidRPr="000F6B5E" w:rsidRDefault="00DF58B1" w:rsidP="00DF58B1">
            <w:pPr>
              <w:rPr>
                <w:b/>
                <w:sz w:val="22"/>
                <w:szCs w:val="22"/>
              </w:rPr>
            </w:pPr>
          </w:p>
          <w:p w:rsidR="00DF58B1" w:rsidRDefault="00DF58B1" w:rsidP="00DF58B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В.о</w:t>
            </w:r>
            <w:proofErr w:type="spellEnd"/>
            <w:r>
              <w:rPr>
                <w:b/>
                <w:sz w:val="22"/>
                <w:szCs w:val="22"/>
              </w:rPr>
              <w:t>. д</w:t>
            </w:r>
            <w:r w:rsidRPr="000F6B5E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  <w:r w:rsidRPr="000F6B5E">
              <w:rPr>
                <w:b/>
                <w:sz w:val="22"/>
                <w:szCs w:val="22"/>
              </w:rPr>
              <w:t xml:space="preserve">  </w:t>
            </w:r>
          </w:p>
          <w:p w:rsidR="00DF58B1" w:rsidRDefault="00DF58B1" w:rsidP="00DF58B1">
            <w:pPr>
              <w:rPr>
                <w:b/>
                <w:sz w:val="22"/>
                <w:szCs w:val="22"/>
              </w:rPr>
            </w:pPr>
          </w:p>
          <w:p w:rsidR="00DF58B1" w:rsidRPr="000F6B5E" w:rsidRDefault="00DF58B1" w:rsidP="00DF58B1">
            <w:pPr>
              <w:rPr>
                <w:b/>
                <w:sz w:val="22"/>
                <w:szCs w:val="22"/>
              </w:rPr>
            </w:pPr>
            <w:r w:rsidRPr="000F6B5E">
              <w:rPr>
                <w:b/>
                <w:sz w:val="22"/>
                <w:szCs w:val="22"/>
              </w:rPr>
              <w:t xml:space="preserve">____________________ </w:t>
            </w:r>
            <w:r>
              <w:rPr>
                <w:b/>
                <w:sz w:val="22"/>
                <w:szCs w:val="22"/>
              </w:rPr>
              <w:t>Євгеній ШЕВЦОВ</w:t>
            </w:r>
          </w:p>
          <w:p w:rsidR="000C42F1" w:rsidRDefault="000C42F1" w:rsidP="00DF58B1">
            <w:pPr>
              <w:ind w:left="91"/>
              <w:rPr>
                <w:b/>
                <w:color w:val="222222"/>
                <w:sz w:val="22"/>
                <w:szCs w:val="22"/>
                <w:highlight w:val="white"/>
              </w:rPr>
            </w:pPr>
          </w:p>
          <w:p w:rsidR="000C42F1" w:rsidRDefault="000C42F1" w:rsidP="00DF58B1">
            <w:pPr>
              <w:ind w:left="91"/>
              <w:rPr>
                <w:b/>
                <w:color w:val="222222"/>
                <w:sz w:val="22"/>
                <w:szCs w:val="22"/>
                <w:highlight w:val="white"/>
              </w:rPr>
            </w:pPr>
          </w:p>
          <w:p w:rsidR="000C42F1" w:rsidRDefault="000C42F1" w:rsidP="00DF58B1">
            <w:pPr>
              <w:ind w:left="91"/>
              <w:rPr>
                <w:b/>
              </w:rPr>
            </w:pPr>
          </w:p>
        </w:tc>
        <w:tc>
          <w:tcPr>
            <w:tcW w:w="498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0C42F1" w:rsidRDefault="000C42F1">
            <w:pPr>
              <w:jc w:val="both"/>
              <w:rPr>
                <w:b/>
                <w:sz w:val="20"/>
                <w:szCs w:val="20"/>
              </w:rPr>
            </w:pPr>
          </w:p>
          <w:p w:rsidR="000C42F1" w:rsidRDefault="000C42F1">
            <w:pPr>
              <w:jc w:val="both"/>
              <w:rPr>
                <w:b/>
                <w:sz w:val="20"/>
                <w:szCs w:val="20"/>
              </w:rPr>
            </w:pPr>
          </w:p>
          <w:p w:rsidR="000C42F1" w:rsidRDefault="000C42F1">
            <w:pPr>
              <w:jc w:val="both"/>
              <w:rPr>
                <w:b/>
                <w:sz w:val="20"/>
                <w:szCs w:val="20"/>
              </w:rPr>
            </w:pPr>
          </w:p>
          <w:p w:rsidR="000C42F1" w:rsidRDefault="002B1832">
            <w:pPr>
              <w:jc w:val="both"/>
            </w:pPr>
            <w:r>
              <w:rPr>
                <w:b/>
                <w:sz w:val="20"/>
                <w:szCs w:val="20"/>
              </w:rPr>
              <w:t>_____________________</w:t>
            </w:r>
          </w:p>
        </w:tc>
      </w:tr>
      <w:tr w:rsidR="000C42F1">
        <w:trPr>
          <w:trHeight w:val="8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:rsidR="000C42F1" w:rsidRDefault="000C42F1" w:rsidP="007A6D29">
            <w:pPr>
              <w:rPr>
                <w:b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498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0C42F1" w:rsidRDefault="000C42F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C42F1">
        <w:trPr>
          <w:trHeight w:val="8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:rsidR="000C42F1" w:rsidRDefault="000C42F1">
            <w:pPr>
              <w:ind w:left="91"/>
              <w:rPr>
                <w:b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498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0C42F1" w:rsidRDefault="000C42F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C42F1" w:rsidRDefault="000C42F1">
      <w:pPr>
        <w:tabs>
          <w:tab w:val="left" w:pos="708"/>
        </w:tabs>
        <w:jc w:val="both"/>
        <w:rPr>
          <w:sz w:val="22"/>
          <w:szCs w:val="22"/>
        </w:rPr>
      </w:pPr>
    </w:p>
    <w:p w:rsidR="000C42F1" w:rsidRDefault="000C42F1"/>
    <w:sectPr w:rsidR="000C42F1" w:rsidSect="000C42F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42F1"/>
    <w:rsid w:val="000C42F1"/>
    <w:rsid w:val="002B1832"/>
    <w:rsid w:val="00403EBD"/>
    <w:rsid w:val="007A6D29"/>
    <w:rsid w:val="009039E3"/>
    <w:rsid w:val="00DE25F4"/>
    <w:rsid w:val="00DF58B1"/>
    <w:rsid w:val="00F3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D1"/>
  </w:style>
  <w:style w:type="paragraph" w:styleId="1">
    <w:name w:val="heading 1"/>
    <w:basedOn w:val="normal"/>
    <w:next w:val="normal"/>
    <w:rsid w:val="000C42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C42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C42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C42F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C42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C42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42F1"/>
  </w:style>
  <w:style w:type="table" w:customStyle="1" w:styleId="TableNormal">
    <w:name w:val="Table Normal"/>
    <w:rsid w:val="000C42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0C42F1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semiHidden/>
    <w:unhideWhenUsed/>
    <w:rsid w:val="00293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3FD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Body Text Indent"/>
    <w:basedOn w:val="a"/>
    <w:link w:val="a6"/>
    <w:semiHidden/>
    <w:unhideWhenUsed/>
    <w:rsid w:val="00293FD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93F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C5AC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5AC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normal"/>
    <w:next w:val="normal"/>
    <w:rsid w:val="000C42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0C42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4">
    <w:name w:val="Название Знак"/>
    <w:basedOn w:val="a0"/>
    <w:link w:val="a3"/>
    <w:uiPriority w:val="99"/>
    <w:rsid w:val="00DF58B1"/>
    <w:rPr>
      <w:b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ttLk4qsOjQNY1GQJGFQP9gZhSA==">CgMxLjAyCWguMmp4c3hxaDgAciExc2pJbmFhcS1kMGNJQXVxb2JjU1I3Z2pmc1B0XzgzQW0=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</dc:creator>
  <cp:lastModifiedBy>Калькулятор</cp:lastModifiedBy>
  <cp:revision>2</cp:revision>
  <dcterms:created xsi:type="dcterms:W3CDTF">2024-04-11T06:40:00Z</dcterms:created>
  <dcterms:modified xsi:type="dcterms:W3CDTF">2024-04-11T06:40:00Z</dcterms:modified>
</cp:coreProperties>
</file>