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 xml:space="preserve">КОЗЯТИНСЬКИЙ МІСЬКИЙ ТЕРИТОРІАЛЬНИЙ ЦЕНТР </w:t>
      </w:r>
    </w:p>
    <w:p w:rsidR="00ED774B" w:rsidRPr="00C85887" w:rsidRDefault="00ED774B" w:rsidP="00ED774B">
      <w:pPr>
        <w:spacing w:after="0" w:line="240" w:lineRule="auto"/>
        <w:jc w:val="center"/>
        <w:rPr>
          <w:rFonts w:ascii="Times New Roman" w:hAnsi="Times New Roman"/>
          <w:bCs/>
          <w:sz w:val="28"/>
          <w:szCs w:val="28"/>
        </w:rPr>
      </w:pPr>
      <w:r w:rsidRPr="00C85887">
        <w:rPr>
          <w:rFonts w:ascii="Times New Roman" w:hAnsi="Times New Roman"/>
          <w:bCs/>
          <w:sz w:val="28"/>
          <w:szCs w:val="28"/>
        </w:rPr>
        <w:t>СОЦІАЛЬНОГО ОБСЛУГОВУВАННЯ</w:t>
      </w:r>
    </w:p>
    <w:p w:rsidR="00ED774B" w:rsidRPr="00667C43" w:rsidRDefault="00ED774B" w:rsidP="00ED774B">
      <w:pPr>
        <w:widowControl w:val="0"/>
        <w:autoSpaceDE w:val="0"/>
        <w:autoSpaceDN w:val="0"/>
        <w:adjustRightInd w:val="0"/>
        <w:jc w:val="center"/>
        <w:rPr>
          <w:rFonts w:ascii="Times New Roman" w:hAnsi="Times New Roman"/>
          <w:b/>
          <w:bCs/>
          <w:sz w:val="28"/>
          <w:szCs w:val="28"/>
        </w:rPr>
      </w:pP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«ЗАТВЕРДЖЕНО»</w:t>
      </w: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Рішенням уповноваженої особи</w:t>
      </w:r>
    </w:p>
    <w:p w:rsidR="00ED774B" w:rsidRPr="003D436B" w:rsidRDefault="00ED774B" w:rsidP="00ED774B">
      <w:pPr>
        <w:widowControl w:val="0"/>
        <w:suppressAutoHyphens/>
        <w:spacing w:after="0" w:line="240" w:lineRule="auto"/>
        <w:jc w:val="right"/>
        <w:rPr>
          <w:rFonts w:ascii="Times New Roman" w:eastAsia="font295" w:hAnsi="Times New Roman"/>
          <w:bCs/>
          <w:kern w:val="1"/>
          <w:sz w:val="24"/>
          <w:szCs w:val="24"/>
        </w:rPr>
      </w:pPr>
      <w:r w:rsidRPr="008239F3">
        <w:rPr>
          <w:rFonts w:ascii="Times New Roman" w:eastAsia="Times New Roman" w:hAnsi="Times New Roman"/>
          <w:bCs/>
          <w:color w:val="FF0000"/>
          <w:kern w:val="1"/>
          <w:sz w:val="24"/>
          <w:szCs w:val="24"/>
          <w:highlight w:val="white"/>
        </w:rPr>
        <w:t xml:space="preserve">                                                                                    </w:t>
      </w:r>
      <w:r>
        <w:rPr>
          <w:rFonts w:ascii="Times New Roman" w:eastAsia="font295" w:hAnsi="Times New Roman"/>
          <w:bCs/>
          <w:kern w:val="1"/>
          <w:sz w:val="24"/>
          <w:szCs w:val="24"/>
        </w:rPr>
        <w:t>від «05» січ</w:t>
      </w:r>
      <w:r w:rsidRPr="003D436B">
        <w:rPr>
          <w:rFonts w:ascii="Times New Roman" w:eastAsia="font295" w:hAnsi="Times New Roman"/>
          <w:bCs/>
          <w:kern w:val="1"/>
          <w:sz w:val="24"/>
          <w:szCs w:val="24"/>
        </w:rPr>
        <w:t>ня</w:t>
      </w:r>
      <w:r>
        <w:rPr>
          <w:rFonts w:ascii="Times New Roman" w:eastAsia="font295" w:hAnsi="Times New Roman"/>
          <w:bCs/>
          <w:kern w:val="1"/>
          <w:sz w:val="24"/>
          <w:szCs w:val="24"/>
        </w:rPr>
        <w:t xml:space="preserve"> 2023</w:t>
      </w:r>
      <w:r w:rsidRPr="003D436B">
        <w:rPr>
          <w:rFonts w:ascii="Times New Roman" w:eastAsia="font295" w:hAnsi="Times New Roman"/>
          <w:bCs/>
          <w:kern w:val="1"/>
          <w:sz w:val="24"/>
          <w:szCs w:val="24"/>
        </w:rPr>
        <w:t xml:space="preserve"> року</w:t>
      </w:r>
    </w:p>
    <w:p w:rsidR="00ED774B" w:rsidRPr="003D436B"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3D436B">
        <w:rPr>
          <w:rFonts w:ascii="Times New Roman" w:eastAsia="font295" w:hAnsi="Times New Roman"/>
          <w:bCs/>
          <w:kern w:val="1"/>
          <w:sz w:val="24"/>
          <w:szCs w:val="24"/>
        </w:rPr>
        <w:t>протокол №1</w:t>
      </w:r>
    </w:p>
    <w:p w:rsidR="00ED774B" w:rsidRPr="008239F3"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Уповноважена особа</w:t>
      </w: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 xml:space="preserve"> _______________</w:t>
      </w:r>
      <w:r>
        <w:rPr>
          <w:rFonts w:ascii="Times New Roman" w:eastAsia="Andale Sans UI" w:hAnsi="Times New Roman"/>
          <w:b/>
          <w:bCs/>
          <w:kern w:val="1"/>
          <w:sz w:val="24"/>
          <w:szCs w:val="24"/>
          <w:highlight w:val="white"/>
        </w:rPr>
        <w:t xml:space="preserve"> К. С. Мазур</w:t>
      </w:r>
    </w:p>
    <w:p w:rsidR="00984F9B" w:rsidRPr="00667C43" w:rsidRDefault="00ED774B" w:rsidP="00ED774B">
      <w:pPr>
        <w:widowControl w:val="0"/>
        <w:autoSpaceDE w:val="0"/>
        <w:autoSpaceDN w:val="0"/>
        <w:adjustRightInd w:val="0"/>
        <w:ind w:left="320"/>
        <w:jc w:val="center"/>
        <w:rPr>
          <w:rFonts w:ascii="Times New Roman" w:hAnsi="Times New Roman"/>
          <w:b/>
          <w:bCs/>
          <w:sz w:val="24"/>
          <w:szCs w:val="24"/>
        </w:rPr>
      </w:pPr>
      <w:r w:rsidRPr="008239F3">
        <w:rPr>
          <w:rFonts w:ascii="Times New Roman" w:eastAsia="Times New Roman" w:hAnsi="Times New Roman"/>
          <w:b/>
          <w:bCs/>
          <w:kern w:val="1"/>
          <w:sz w:val="20"/>
          <w:szCs w:val="20"/>
          <w:highlight w:val="white"/>
        </w:rPr>
        <w:t xml:space="preserve">                        </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ED774B" w:rsidRDefault="00CC4098" w:rsidP="00EB0153">
            <w:pPr>
              <w:pStyle w:val="a4"/>
              <w:widowControl/>
              <w:numPr>
                <w:ilvl w:val="5"/>
                <w:numId w:val="3"/>
              </w:numPr>
              <w:autoSpaceDE/>
              <w:spacing w:after="0"/>
              <w:ind w:right="1025"/>
              <w:jc w:val="center"/>
              <w:outlineLvl w:val="5"/>
              <w:rPr>
                <w:rStyle w:val="FontStyle12"/>
                <w:b/>
                <w:bCs/>
                <w:sz w:val="24"/>
                <w:szCs w:val="24"/>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p w:rsidR="00ED774B" w:rsidRPr="00667C43"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ED774B">
        <w:rPr>
          <w:rFonts w:ascii="Times New Roman" w:hAnsi="Times New Roman"/>
          <w:b/>
          <w:bCs/>
          <w:sz w:val="28"/>
        </w:rPr>
        <w:t>В</w:t>
      </w:r>
      <w:r w:rsidR="00984F9B" w:rsidRPr="00ED774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ED774B">
      <w:pPr>
        <w:widowControl w:val="0"/>
        <w:autoSpaceDE w:val="0"/>
        <w:autoSpaceDN w:val="0"/>
        <w:adjustRightInd w:val="0"/>
        <w:rPr>
          <w:rFonts w:ascii="Times New Roman" w:hAnsi="Times New Roman"/>
          <w:b/>
          <w:bCs/>
          <w:sz w:val="24"/>
          <w:szCs w:val="24"/>
        </w:rPr>
      </w:pPr>
    </w:p>
    <w:p w:rsidR="00CC4098" w:rsidRPr="00667C43" w:rsidRDefault="00ED774B"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м. Козятин-2023р.</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ED774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ED774B" w:rsidP="00C03323">
            <w:pPr>
              <w:snapToGrid w:val="0"/>
              <w:spacing w:after="0" w:line="240" w:lineRule="auto"/>
              <w:rPr>
                <w:rFonts w:ascii="Times New Roman" w:hAnsi="Times New Roman"/>
                <w:sz w:val="24"/>
                <w:szCs w:val="24"/>
              </w:rPr>
            </w:pPr>
            <w:r w:rsidRPr="00445606">
              <w:rPr>
                <w:rFonts w:ascii="Times New Roman" w:hAnsi="Times New Roman"/>
                <w:b/>
                <w:sz w:val="24"/>
                <w:szCs w:val="24"/>
              </w:rPr>
              <w:t>Козятинський міський територіальний центр соціального обслуговування</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ED774B" w:rsidP="004B29BE">
            <w:pPr>
              <w:snapToGrid w:val="0"/>
              <w:spacing w:after="0" w:line="240" w:lineRule="auto"/>
              <w:rPr>
                <w:rFonts w:ascii="Times New Roman" w:hAnsi="Times New Roman"/>
                <w:sz w:val="24"/>
                <w:szCs w:val="24"/>
              </w:rPr>
            </w:pPr>
            <w:r>
              <w:rPr>
                <w:rFonts w:ascii="Times New Roman" w:hAnsi="Times New Roman"/>
                <w:sz w:val="24"/>
                <w:szCs w:val="24"/>
              </w:rPr>
              <w:t>22100, Вінницька обл., Хмільницький район, м. Козятин, вул. Винниченка, 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ED774B" w:rsidRPr="00445606" w:rsidRDefault="00ED774B" w:rsidP="00ED774B">
            <w:pPr>
              <w:snapToGrid w:val="0"/>
              <w:jc w:val="both"/>
              <w:rPr>
                <w:rFonts w:ascii="Times New Roman" w:hAnsi="Times New Roman"/>
                <w:snapToGrid w:val="0"/>
                <w:sz w:val="24"/>
                <w:szCs w:val="24"/>
              </w:rPr>
            </w:pPr>
            <w:r w:rsidRPr="00445606">
              <w:rPr>
                <w:rFonts w:ascii="Times New Roman" w:hAnsi="Times New Roman"/>
                <w:snapToGrid w:val="0"/>
                <w:sz w:val="24"/>
                <w:szCs w:val="24"/>
              </w:rPr>
              <w:t>Мазур Катерина Сергіївна- уповноважена особа</w:t>
            </w:r>
          </w:p>
          <w:p w:rsidR="00ED774B"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1C4D42">
              <w:rPr>
                <w:rFonts w:ascii="Times New Roman" w:hAnsi="Times New Roman"/>
                <w:bCs/>
                <w:snapToGrid w:val="0"/>
                <w:sz w:val="24"/>
                <w:szCs w:val="24"/>
              </w:rPr>
              <w:t xml:space="preserve">Адреса: </w:t>
            </w:r>
            <w:r>
              <w:rPr>
                <w:rFonts w:ascii="Times New Roman" w:hAnsi="Times New Roman"/>
                <w:sz w:val="24"/>
                <w:szCs w:val="24"/>
              </w:rPr>
              <w:t xml:space="preserve">Вінницька обл., Хмільницький район, м. Козятин, вул. Винниченка, 5. </w:t>
            </w:r>
          </w:p>
          <w:p w:rsidR="00ED774B" w:rsidRPr="00445606"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lang w:val="ru-RU"/>
              </w:rPr>
            </w:pPr>
            <w:r w:rsidRPr="001C4D42">
              <w:rPr>
                <w:rFonts w:ascii="Times New Roman" w:hAnsi="Times New Roman"/>
                <w:bCs/>
                <w:snapToGrid w:val="0"/>
                <w:sz w:val="24"/>
                <w:szCs w:val="24"/>
              </w:rPr>
              <w:t>Телефон: (0</w:t>
            </w:r>
            <w:r>
              <w:rPr>
                <w:rFonts w:ascii="Times New Roman" w:hAnsi="Times New Roman"/>
                <w:bCs/>
                <w:snapToGrid w:val="0"/>
                <w:sz w:val="24"/>
                <w:szCs w:val="24"/>
              </w:rPr>
              <w:t>6</w:t>
            </w:r>
            <w:r w:rsidRPr="001C4D42">
              <w:rPr>
                <w:rFonts w:ascii="Times New Roman" w:hAnsi="Times New Roman"/>
                <w:bCs/>
                <w:snapToGrid w:val="0"/>
                <w:sz w:val="24"/>
                <w:szCs w:val="24"/>
              </w:rPr>
              <w:t>3)</w:t>
            </w:r>
            <w:r>
              <w:rPr>
                <w:rFonts w:ascii="Times New Roman" w:hAnsi="Times New Roman"/>
                <w:bCs/>
                <w:snapToGrid w:val="0"/>
                <w:sz w:val="24"/>
                <w:szCs w:val="24"/>
              </w:rPr>
              <w:t xml:space="preserve"> 342-97-70</w:t>
            </w:r>
          </w:p>
          <w:p w:rsidR="00984F9B" w:rsidRPr="00667C43"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1C4D42">
              <w:rPr>
                <w:rFonts w:ascii="Times New Roman" w:hAnsi="Times New Roman"/>
                <w:bCs/>
                <w:snapToGrid w:val="0"/>
                <w:sz w:val="24"/>
                <w:szCs w:val="24"/>
              </w:rPr>
              <w:t>Е-</w:t>
            </w:r>
            <w:proofErr w:type="spellStart"/>
            <w:r w:rsidRPr="001C4D42">
              <w:rPr>
                <w:rFonts w:ascii="Times New Roman" w:hAnsi="Times New Roman"/>
                <w:bCs/>
                <w:snapToGrid w:val="0"/>
                <w:sz w:val="24"/>
                <w:szCs w:val="24"/>
              </w:rPr>
              <w:t>mail</w:t>
            </w:r>
            <w:proofErr w:type="spellEnd"/>
            <w:r w:rsidRPr="001C4D42">
              <w:rPr>
                <w:rFonts w:ascii="Times New Roman" w:hAnsi="Times New Roman"/>
                <w:bCs/>
                <w:snapToGrid w:val="0"/>
                <w:sz w:val="24"/>
                <w:szCs w:val="24"/>
              </w:rPr>
              <w:t xml:space="preserve">: </w:t>
            </w:r>
            <w:proofErr w:type="spellStart"/>
            <w:r>
              <w:rPr>
                <w:rFonts w:ascii="Times New Roman" w:hAnsi="Times New Roman"/>
                <w:bCs/>
                <w:snapToGrid w:val="0"/>
                <w:sz w:val="24"/>
                <w:szCs w:val="24"/>
                <w:lang w:val="en-US"/>
              </w:rPr>
              <w:t>mazur</w:t>
            </w:r>
            <w:proofErr w:type="spellEnd"/>
            <w:r w:rsidRPr="001E597A">
              <w:rPr>
                <w:rFonts w:ascii="Times New Roman" w:hAnsi="Times New Roman"/>
                <w:bCs/>
                <w:snapToGrid w:val="0"/>
                <w:sz w:val="24"/>
                <w:szCs w:val="24"/>
                <w:lang w:val="ru-RU"/>
              </w:rPr>
              <w:t>.</w:t>
            </w:r>
            <w:proofErr w:type="spellStart"/>
            <w:r>
              <w:rPr>
                <w:rFonts w:ascii="Times New Roman" w:hAnsi="Times New Roman"/>
                <w:bCs/>
                <w:snapToGrid w:val="0"/>
                <w:sz w:val="24"/>
                <w:szCs w:val="24"/>
                <w:lang w:val="en-US"/>
              </w:rPr>
              <w:t>kateryna</w:t>
            </w:r>
            <w:proofErr w:type="spellEnd"/>
            <w:r w:rsidRPr="001E597A">
              <w:rPr>
                <w:rFonts w:ascii="Times New Roman" w:hAnsi="Times New Roman"/>
                <w:bCs/>
                <w:snapToGrid w:val="0"/>
                <w:sz w:val="24"/>
                <w:szCs w:val="24"/>
                <w:lang w:val="ru-RU"/>
              </w:rPr>
              <w:t>89@</w:t>
            </w:r>
            <w:proofErr w:type="spellStart"/>
            <w:r>
              <w:rPr>
                <w:rFonts w:ascii="Times New Roman" w:hAnsi="Times New Roman"/>
                <w:bCs/>
                <w:snapToGrid w:val="0"/>
                <w:sz w:val="24"/>
                <w:szCs w:val="24"/>
                <w:lang w:val="en-US"/>
              </w:rPr>
              <w:t>gmail</w:t>
            </w:r>
            <w:proofErr w:type="spellEnd"/>
            <w:r w:rsidRPr="001E597A">
              <w:rPr>
                <w:rFonts w:ascii="Times New Roman" w:hAnsi="Times New Roman"/>
                <w:bCs/>
                <w:snapToGrid w:val="0"/>
                <w:sz w:val="24"/>
                <w:szCs w:val="24"/>
                <w:lang w:val="ru-RU"/>
              </w:rPr>
              <w:t>.</w:t>
            </w:r>
            <w:r>
              <w:rPr>
                <w:rFonts w:ascii="Times New Roman" w:hAnsi="Times New Roman"/>
                <w:bCs/>
                <w:snapToGrid w:val="0"/>
                <w:sz w:val="24"/>
                <w:szCs w:val="24"/>
                <w:lang w:val="en-US"/>
              </w:rPr>
              <w:t>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D774B">
              <w:rPr>
                <w:rFonts w:ascii="Times New Roman" w:hAnsi="Times New Roman"/>
                <w:sz w:val="24"/>
                <w:szCs w:val="24"/>
                <w:lang w:eastAsia="uk-UA"/>
              </w:rPr>
              <w:t>Ві</w:t>
            </w:r>
            <w:r w:rsidR="00E735D3" w:rsidRPr="00ED774B">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r w:rsidR="00ED774B">
              <w:rPr>
                <w:rFonts w:ascii="Times New Roman" w:hAnsi="Times New Roman"/>
                <w:bCs/>
                <w:color w:val="000000"/>
                <w:sz w:val="24"/>
                <w:szCs w:val="24"/>
              </w:rPr>
              <w:t xml:space="preserve"> </w:t>
            </w:r>
            <w:r w:rsidR="00ED774B">
              <w:rPr>
                <w:rFonts w:ascii="Times New Roman" w:hAnsi="Times New Roman"/>
                <w:sz w:val="24"/>
                <w:szCs w:val="24"/>
              </w:rPr>
              <w:t>(з оплатою за розподіл електричної енергії через постачальника)</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1E597A">
              <w:rPr>
                <w:rFonts w:ascii="Times New Roman" w:hAnsi="Times New Roman"/>
                <w:sz w:val="24"/>
                <w:szCs w:val="24"/>
              </w:rPr>
              <w:t>Вінницька область</w:t>
            </w:r>
            <w:r w:rsidR="001E597A" w:rsidRPr="000B4AE3">
              <w:rPr>
                <w:rFonts w:ascii="Times New Roman" w:hAnsi="Times New Roman"/>
                <w:sz w:val="24"/>
                <w:szCs w:val="24"/>
              </w:rPr>
              <w:t xml:space="preserve">, </w:t>
            </w:r>
            <w:r w:rsidR="001E597A">
              <w:rPr>
                <w:rFonts w:ascii="Times New Roman" w:hAnsi="Times New Roman"/>
                <w:sz w:val="24"/>
                <w:szCs w:val="24"/>
              </w:rPr>
              <w:t>Козятинський район, м</w:t>
            </w:r>
            <w:r w:rsidR="001E597A" w:rsidRPr="000B4AE3">
              <w:rPr>
                <w:rFonts w:ascii="Times New Roman" w:hAnsi="Times New Roman"/>
                <w:sz w:val="24"/>
                <w:szCs w:val="24"/>
              </w:rPr>
              <w:t>.</w:t>
            </w:r>
            <w:r w:rsidR="001E597A">
              <w:rPr>
                <w:rFonts w:ascii="Times New Roman" w:hAnsi="Times New Roman"/>
                <w:sz w:val="24"/>
                <w:szCs w:val="24"/>
              </w:rPr>
              <w:t xml:space="preserve"> Козятин</w:t>
            </w:r>
            <w:r w:rsidR="001E597A" w:rsidRPr="000B4AE3">
              <w:rPr>
                <w:rFonts w:ascii="Times New Roman" w:hAnsi="Times New Roman"/>
                <w:sz w:val="24"/>
                <w:szCs w:val="24"/>
              </w:rPr>
              <w:t>, вул.</w:t>
            </w:r>
            <w:r w:rsidR="001E597A">
              <w:rPr>
                <w:rFonts w:ascii="Times New Roman" w:hAnsi="Times New Roman"/>
                <w:sz w:val="24"/>
                <w:szCs w:val="24"/>
              </w:rPr>
              <w:t xml:space="preserve"> Винниченка,5</w:t>
            </w:r>
            <w:r w:rsidR="001E597A" w:rsidRPr="000B4AE3">
              <w:rPr>
                <w:rFonts w:ascii="Times New Roman" w:hAnsi="Times New Roman"/>
                <w:sz w:val="24"/>
                <w:szCs w:val="24"/>
              </w:rPr>
              <w:t xml:space="preserve">, індекс </w:t>
            </w:r>
            <w:r w:rsidR="001E597A">
              <w:rPr>
                <w:rFonts w:ascii="Times New Roman" w:hAnsi="Times New Roman"/>
                <w:sz w:val="24"/>
                <w:szCs w:val="24"/>
              </w:rPr>
              <w:t>22100</w:t>
            </w:r>
            <w:bookmarkStart w:id="0" w:name="_GoBack"/>
            <w:bookmarkEnd w:id="0"/>
          </w:p>
          <w:p w:rsidR="00984F9B" w:rsidRDefault="00984F9B" w:rsidP="007555F6">
            <w:pPr>
              <w:spacing w:after="0" w:line="240" w:lineRule="auto"/>
              <w:jc w:val="both"/>
              <w:rPr>
                <w:rFonts w:ascii="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p w:rsidR="00584251" w:rsidRPr="00667C43" w:rsidRDefault="00584251" w:rsidP="007555F6">
            <w:pPr>
              <w:spacing w:after="0" w:line="240" w:lineRule="auto"/>
              <w:jc w:val="both"/>
              <w:rPr>
                <w:rFonts w:ascii="Times New Roman" w:eastAsia="Times New Roman" w:hAnsi="Times New Roman"/>
                <w:sz w:val="24"/>
                <w:szCs w:val="24"/>
                <w:lang w:eastAsia="uk-UA"/>
              </w:rPr>
            </w:pPr>
            <w:r>
              <w:rPr>
                <w:rFonts w:ascii="Times New Roman" w:hAnsi="Times New Roman"/>
                <w:b/>
                <w:noProof/>
                <w:sz w:val="24"/>
                <w:szCs w:val="24"/>
                <w:lang w:eastAsia="ru-RU"/>
              </w:rPr>
              <w:t>Загальна кількість: 53 3</w:t>
            </w:r>
            <w:r w:rsidRPr="009B7A5A">
              <w:rPr>
                <w:rFonts w:ascii="Times New Roman" w:hAnsi="Times New Roman"/>
                <w:b/>
                <w:noProof/>
                <w:sz w:val="24"/>
                <w:szCs w:val="24"/>
                <w:lang w:eastAsia="ru-RU"/>
              </w:rPr>
              <w:t>00</w:t>
            </w:r>
            <w:r w:rsidRPr="009B7A5A">
              <w:rPr>
                <w:b/>
                <w:sz w:val="24"/>
                <w:szCs w:val="24"/>
              </w:rPr>
              <w:t xml:space="preserve"> </w:t>
            </w:r>
            <w:r w:rsidRPr="009B7A5A">
              <w:rPr>
                <w:rFonts w:ascii="Times New Roman" w:hAnsi="Times New Roman"/>
                <w:b/>
                <w:sz w:val="24"/>
                <w:szCs w:val="24"/>
              </w:rPr>
              <w:t>кВт.</w:t>
            </w:r>
            <w:r>
              <w:rPr>
                <w:rFonts w:ascii="Times New Roman" w:hAnsi="Times New Roman"/>
                <w:b/>
                <w:sz w:val="24"/>
                <w:szCs w:val="24"/>
              </w:rPr>
              <w:t xml:space="preserve"> </w:t>
            </w:r>
            <w:r w:rsidRPr="009B7A5A">
              <w:rPr>
                <w:rFonts w:ascii="Times New Roman" w:hAnsi="Times New Roman"/>
                <w:b/>
                <w:sz w:val="24"/>
                <w:szCs w:val="24"/>
              </w:rPr>
              <w:t>год.</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ED774B">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584251" w:rsidRPr="00667C43" w:rsidTr="009F73C8">
        <w:trPr>
          <w:trHeight w:val="882"/>
        </w:trPr>
        <w:tc>
          <w:tcPr>
            <w:tcW w:w="2835" w:type="dxa"/>
            <w:vAlign w:val="center"/>
          </w:tcPr>
          <w:p w:rsidR="00584251" w:rsidRPr="00445606" w:rsidRDefault="00584251" w:rsidP="00F3371D">
            <w:pPr>
              <w:pStyle w:val="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4.5.</w:t>
            </w:r>
            <w:r w:rsidRPr="00445606">
              <w:rPr>
                <w:rFonts w:ascii="Times New Roman" w:eastAsia="Times New Roman" w:hAnsi="Times New Roman" w:cs="Times New Roman"/>
                <w:sz w:val="24"/>
                <w:szCs w:val="24"/>
                <w:lang w:val="uk-UA"/>
              </w:rPr>
              <w:t>джерело фінансування</w:t>
            </w:r>
          </w:p>
        </w:tc>
        <w:tc>
          <w:tcPr>
            <w:tcW w:w="6975" w:type="dxa"/>
            <w:vAlign w:val="center"/>
          </w:tcPr>
          <w:p w:rsidR="00584251" w:rsidRPr="00445606" w:rsidRDefault="00584251" w:rsidP="00F3371D">
            <w:pPr>
              <w:shd w:val="clear" w:color="auto" w:fill="FFFFFF"/>
              <w:jc w:val="both"/>
              <w:textAlignment w:val="baseline"/>
              <w:rPr>
                <w:rFonts w:ascii="Times New Roman" w:eastAsia="Times New Roman" w:hAnsi="Times New Roman"/>
                <w:color w:val="000000"/>
                <w:sz w:val="24"/>
                <w:szCs w:val="24"/>
                <w:highlight w:val="white"/>
              </w:rPr>
            </w:pPr>
            <w:r w:rsidRPr="00445606">
              <w:rPr>
                <w:rFonts w:ascii="Times New Roman" w:eastAsia="Times New Roman" w:hAnsi="Times New Roman"/>
                <w:color w:val="000000"/>
                <w:sz w:val="24"/>
                <w:szCs w:val="24"/>
              </w:rPr>
              <w:t xml:space="preserve">Місцевий бюджет, загальна сума – </w:t>
            </w:r>
            <w:r>
              <w:rPr>
                <w:rFonts w:ascii="Times New Roman" w:eastAsia="Times New Roman" w:hAnsi="Times New Roman"/>
                <w:b/>
                <w:color w:val="000000"/>
                <w:sz w:val="24"/>
                <w:szCs w:val="24"/>
              </w:rPr>
              <w:t xml:space="preserve">400 000 грн. 00 </w:t>
            </w:r>
            <w:r w:rsidRPr="00445606">
              <w:rPr>
                <w:rFonts w:ascii="Times New Roman" w:eastAsia="Times New Roman" w:hAnsi="Times New Roman"/>
                <w:b/>
                <w:color w:val="000000"/>
                <w:sz w:val="24"/>
                <w:szCs w:val="24"/>
              </w:rPr>
              <w:t>коп.</w:t>
            </w:r>
          </w:p>
        </w:tc>
      </w:tr>
      <w:tr w:rsidR="00584251" w:rsidRPr="00667C43" w:rsidTr="007555F6">
        <w:trPr>
          <w:trHeight w:val="995"/>
        </w:trPr>
        <w:tc>
          <w:tcPr>
            <w:tcW w:w="2835" w:type="dxa"/>
          </w:tcPr>
          <w:p w:rsidR="00584251" w:rsidRPr="00667C43" w:rsidRDefault="00584251"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584251"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584251" w:rsidRPr="00667C43" w:rsidRDefault="00584251" w:rsidP="008A255C">
            <w:pPr>
              <w:spacing w:after="0" w:line="240" w:lineRule="auto"/>
              <w:jc w:val="both"/>
              <w:rPr>
                <w:rFonts w:ascii="Times New Roman" w:eastAsia="Times New Roman" w:hAnsi="Times New Roman"/>
                <w:sz w:val="24"/>
                <w:szCs w:val="24"/>
                <w:lang w:eastAsia="uk-UA"/>
              </w:rPr>
            </w:pPr>
            <w:proofErr w:type="spellStart"/>
            <w:r w:rsidRPr="00ED774B">
              <w:rPr>
                <w:rFonts w:ascii="Times New Roman" w:eastAsia="Times New Roman" w:hAnsi="Times New Roman"/>
                <w:sz w:val="24"/>
                <w:szCs w:val="24"/>
                <w:lang w:val="ru-RU" w:eastAsia="uk-UA"/>
              </w:rPr>
              <w:t>Замовники</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забезпечують</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вільний</w:t>
            </w:r>
            <w:proofErr w:type="spellEnd"/>
            <w:r w:rsidRPr="00ED774B">
              <w:rPr>
                <w:rFonts w:ascii="Times New Roman" w:eastAsia="Times New Roman" w:hAnsi="Times New Roman"/>
                <w:sz w:val="24"/>
                <w:szCs w:val="24"/>
                <w:lang w:val="ru-RU" w:eastAsia="uk-UA"/>
              </w:rPr>
              <w:t xml:space="preserve"> доступ </w:t>
            </w:r>
            <w:proofErr w:type="spellStart"/>
            <w:r w:rsidRPr="00ED774B">
              <w:rPr>
                <w:rFonts w:ascii="Times New Roman" w:eastAsia="Times New Roman" w:hAnsi="Times New Roman"/>
                <w:sz w:val="24"/>
                <w:szCs w:val="24"/>
                <w:lang w:val="ru-RU" w:eastAsia="uk-UA"/>
              </w:rPr>
              <w:t>усіх</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учасникі</w:t>
            </w:r>
            <w:proofErr w:type="gramStart"/>
            <w:r w:rsidRPr="00ED774B">
              <w:rPr>
                <w:rFonts w:ascii="Times New Roman" w:eastAsia="Times New Roman" w:hAnsi="Times New Roman"/>
                <w:sz w:val="24"/>
                <w:szCs w:val="24"/>
                <w:lang w:val="ru-RU" w:eastAsia="uk-UA"/>
              </w:rPr>
              <w:t>в</w:t>
            </w:r>
            <w:proofErr w:type="spellEnd"/>
            <w:proofErr w:type="gramEnd"/>
            <w:r w:rsidRPr="00ED774B">
              <w:rPr>
                <w:rFonts w:ascii="Times New Roman" w:eastAsia="Times New Roman" w:hAnsi="Times New Roman"/>
                <w:sz w:val="24"/>
                <w:szCs w:val="24"/>
                <w:lang w:val="ru-RU" w:eastAsia="uk-UA"/>
              </w:rPr>
              <w:t xml:space="preserve"> до </w:t>
            </w:r>
            <w:proofErr w:type="spellStart"/>
            <w:r w:rsidRPr="00ED774B">
              <w:rPr>
                <w:rFonts w:ascii="Times New Roman" w:eastAsia="Times New Roman" w:hAnsi="Times New Roman"/>
                <w:sz w:val="24"/>
                <w:szCs w:val="24"/>
                <w:lang w:val="ru-RU" w:eastAsia="uk-UA"/>
              </w:rPr>
              <w:t>інформації</w:t>
            </w:r>
            <w:proofErr w:type="spellEnd"/>
            <w:r w:rsidRPr="00ED774B">
              <w:rPr>
                <w:rFonts w:ascii="Times New Roman" w:eastAsia="Times New Roman" w:hAnsi="Times New Roman"/>
                <w:sz w:val="24"/>
                <w:szCs w:val="24"/>
                <w:lang w:val="ru-RU" w:eastAsia="uk-UA"/>
              </w:rPr>
              <w:t xml:space="preserve"> про </w:t>
            </w:r>
            <w:proofErr w:type="spellStart"/>
            <w:r w:rsidRPr="00ED774B">
              <w:rPr>
                <w:rFonts w:ascii="Times New Roman" w:eastAsia="Times New Roman" w:hAnsi="Times New Roman"/>
                <w:sz w:val="24"/>
                <w:szCs w:val="24"/>
                <w:lang w:val="ru-RU" w:eastAsia="uk-UA"/>
              </w:rPr>
              <w:t>закупівлю</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передбаченої</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цим</w:t>
            </w:r>
            <w:proofErr w:type="spellEnd"/>
            <w:r w:rsidRPr="00ED774B">
              <w:rPr>
                <w:rFonts w:ascii="Times New Roman" w:eastAsia="Times New Roman" w:hAnsi="Times New Roman"/>
                <w:sz w:val="24"/>
                <w:szCs w:val="24"/>
                <w:lang w:val="ru-RU" w:eastAsia="uk-UA"/>
              </w:rPr>
              <w:t xml:space="preserve"> Законом.</w:t>
            </w:r>
          </w:p>
        </w:tc>
      </w:tr>
      <w:tr w:rsidR="00584251" w:rsidRPr="00667C43" w:rsidTr="001562AB">
        <w:tc>
          <w:tcPr>
            <w:tcW w:w="2835" w:type="dxa"/>
            <w:vAlign w:val="center"/>
          </w:tcPr>
          <w:p w:rsidR="00584251" w:rsidRPr="00667C43" w:rsidRDefault="00584251"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584251" w:rsidRPr="00667C43" w:rsidRDefault="00584251"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584251" w:rsidRPr="00667C43"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rsidR="00584251" w:rsidRPr="00667C43"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584251" w:rsidRPr="00667C43" w:rsidRDefault="00584251" w:rsidP="00315036">
            <w:pPr>
              <w:spacing w:after="0" w:line="240" w:lineRule="auto"/>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667C43" w:rsidTr="00486983">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667C43" w:rsidTr="0070206B">
        <w:trPr>
          <w:trHeight w:val="5445"/>
        </w:trPr>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ED774B">
              <w:rPr>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w:t>
            </w:r>
            <w:r w:rsidRPr="00ED774B">
              <w:rPr>
                <w:shd w:val="clear" w:color="auto" w:fill="FFFFFF"/>
                <w:lang w:val="uk-UA"/>
              </w:rPr>
              <w:t xml:space="preserve">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ED774B">
              <w:rPr>
                <w:lang w:val="uk-UA"/>
              </w:rPr>
              <w:t>та оприлюднити його на веб-порталі Уповноваженого органу відповідно до</w:t>
            </w:r>
            <w:r w:rsidRPr="00ED774B">
              <w:rPr>
                <w:rStyle w:val="apple-converted-space"/>
                <w:lang w:val="uk-UA"/>
              </w:rPr>
              <w:t> </w:t>
            </w:r>
            <w:r w:rsidRPr="00ED774B">
              <w:rPr>
                <w:lang w:val="uk-UA" w:eastAsia="uk-UA"/>
              </w:rPr>
              <w:t xml:space="preserve">статті 10 Закону. </w:t>
            </w:r>
          </w:p>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rPr>
            </w:pPr>
            <w:r w:rsidRPr="00ED774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84251" w:rsidRPr="00667C43"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ED774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584251" w:rsidRPr="00667C43" w:rsidRDefault="00584251"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584251" w:rsidRPr="00667C43" w:rsidTr="00486983">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584251" w:rsidRPr="00ED774B" w:rsidRDefault="00584251"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w:t>
            </w:r>
            <w:r w:rsidRPr="00ED774B">
              <w:rPr>
                <w:rFonts w:ascii="Times New Roman" w:hAnsi="Times New Roman"/>
                <w:sz w:val="24"/>
                <w:szCs w:val="24"/>
                <w:lang w:eastAsia="uk-UA"/>
              </w:rPr>
              <w:t>менше чотирьох днів.</w:t>
            </w:r>
          </w:p>
          <w:p w:rsidR="00584251" w:rsidRPr="00667C43" w:rsidRDefault="00584251" w:rsidP="006B7C73">
            <w:pPr>
              <w:spacing w:after="0" w:line="240" w:lineRule="auto"/>
              <w:ind w:firstLine="460"/>
              <w:jc w:val="both"/>
              <w:rPr>
                <w:rFonts w:ascii="Times New Roman" w:hAnsi="Times New Roman"/>
                <w:sz w:val="24"/>
                <w:szCs w:val="24"/>
                <w:lang w:eastAsia="uk-UA"/>
              </w:rPr>
            </w:pPr>
            <w:r w:rsidRPr="00ED774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D774B">
              <w:rPr>
                <w:rFonts w:ascii="Times New Roman" w:eastAsia="Times New Roman" w:hAnsi="Times New Roman"/>
                <w:color w:val="000000"/>
                <w:sz w:val="23"/>
                <w:szCs w:val="23"/>
                <w:shd w:val="solid" w:color="FFFFFF" w:fill="FFFFFF"/>
              </w:rPr>
              <w:t xml:space="preserve"> </w:t>
            </w:r>
            <w:r w:rsidRPr="00ED774B">
              <w:rPr>
                <w:rFonts w:ascii="Times New Roman" w:hAnsi="Times New Roman"/>
                <w:sz w:val="24"/>
                <w:szCs w:val="24"/>
                <w:lang w:eastAsia="uk-UA"/>
              </w:rPr>
              <w:t>протягом одного дня з дати прийняття рішення про їх внесення.</w:t>
            </w:r>
          </w:p>
          <w:p w:rsidR="00584251" w:rsidRPr="00667C43" w:rsidRDefault="00584251"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584251" w:rsidRPr="00667C43" w:rsidTr="00486983">
        <w:trPr>
          <w:trHeight w:val="334"/>
        </w:trPr>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667C43" w:rsidTr="00486983">
        <w:trPr>
          <w:trHeight w:val="334"/>
        </w:trPr>
        <w:tc>
          <w:tcPr>
            <w:tcW w:w="2835" w:type="dxa"/>
          </w:tcPr>
          <w:p w:rsidR="00584251" w:rsidRPr="00667C43" w:rsidRDefault="00584251"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584251" w:rsidRPr="00667C43" w:rsidRDefault="00584251"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ED774B">
              <w:rPr>
                <w:rFonts w:ascii="Times New Roman" w:hAnsi="Times New Roman"/>
                <w:sz w:val="24"/>
                <w:szCs w:val="24"/>
                <w:lang w:eastAsia="ru-RU"/>
              </w:rPr>
              <w:t>(крім пункту 13 частини першої статті 17 Закону)  і в цій</w:t>
            </w:r>
            <w:r w:rsidRPr="00667C43">
              <w:rPr>
                <w:rFonts w:ascii="Times New Roman" w:hAnsi="Times New Roman"/>
                <w:sz w:val="24"/>
                <w:szCs w:val="24"/>
                <w:lang w:eastAsia="ru-RU"/>
              </w:rPr>
              <w:t xml:space="preserve"> тендерній документації, та шляхом завантаження необхідних документів, що вимагаються замовником у цій тендерній документації, а саме:</w:t>
            </w:r>
          </w:p>
          <w:p w:rsidR="00584251" w:rsidRPr="00667C43" w:rsidRDefault="00584251"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584251" w:rsidRPr="00667C43" w:rsidRDefault="00584251"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пункт 5</w:t>
            </w:r>
            <w:r>
              <w:rPr>
                <w:rFonts w:ascii="Times New Roman" w:hAnsi="Times New Roman"/>
                <w:b/>
                <w:sz w:val="24"/>
                <w:szCs w:val="24"/>
                <w:lang w:eastAsia="ru-RU"/>
              </w:rPr>
              <w:t xml:space="preserve"> розділу 3</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584251" w:rsidRPr="00667C43" w:rsidRDefault="00584251"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інформація щодо відповідності учасника вимогам, визначеним у статті 17 Закону; </w:t>
            </w:r>
          </w:p>
          <w:p w:rsidR="00584251" w:rsidRPr="00667C43" w:rsidRDefault="00584251"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584251" w:rsidRDefault="00584251"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584251" w:rsidRPr="00667C43" w:rsidRDefault="00584251"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w:t>
            </w:r>
            <w:r w:rsidRPr="00BA14AF">
              <w:rPr>
                <w:rFonts w:ascii="Times New Roman" w:hAnsi="Times New Roman"/>
                <w:sz w:val="24"/>
                <w:szCs w:val="24"/>
                <w:lang w:eastAsia="ru-RU"/>
              </w:rPr>
              <w:lastRenderedPageBreak/>
              <w:t>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584251" w:rsidRDefault="00584251" w:rsidP="008A255C">
            <w:pPr>
              <w:spacing w:after="0" w:line="240" w:lineRule="auto"/>
              <w:ind w:firstLine="460"/>
              <w:jc w:val="both"/>
              <w:textAlignment w:val="baseline"/>
              <w:rPr>
                <w:rFonts w:ascii="Times New Roman" w:hAnsi="Times New Roman"/>
                <w:sz w:val="24"/>
                <w:szCs w:val="24"/>
                <w:lang w:eastAsia="ru-RU"/>
              </w:rPr>
            </w:pPr>
          </w:p>
          <w:p w:rsidR="00584251" w:rsidRPr="00667C43" w:rsidRDefault="00584251"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584251" w:rsidRPr="00667C43" w:rsidRDefault="00584251" w:rsidP="00EA46F1">
            <w:pPr>
              <w:spacing w:after="0" w:line="240" w:lineRule="auto"/>
              <w:ind w:firstLine="460"/>
              <w:jc w:val="both"/>
              <w:textAlignment w:val="baseline"/>
              <w:rPr>
                <w:rFonts w:ascii="Times New Roman" w:hAnsi="Times New Roman"/>
                <w:sz w:val="24"/>
                <w:szCs w:val="24"/>
              </w:rPr>
            </w:pPr>
          </w:p>
          <w:p w:rsidR="00584251" w:rsidRPr="00667C43" w:rsidRDefault="00584251"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584251" w:rsidRPr="00667C43" w:rsidRDefault="00584251" w:rsidP="00A05A1E">
            <w:pPr>
              <w:spacing w:after="0" w:line="240" w:lineRule="auto"/>
              <w:jc w:val="both"/>
              <w:textAlignment w:val="baseline"/>
              <w:rPr>
                <w:rFonts w:ascii="Times New Roman" w:hAnsi="Times New Roman"/>
                <w:sz w:val="24"/>
                <w:szCs w:val="24"/>
              </w:rPr>
            </w:pPr>
          </w:p>
          <w:p w:rsidR="00584251" w:rsidRPr="00667C43" w:rsidRDefault="00584251"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584251" w:rsidRPr="00667C43" w:rsidRDefault="00584251" w:rsidP="00A05A1E">
            <w:pPr>
              <w:spacing w:after="0" w:line="240" w:lineRule="auto"/>
              <w:jc w:val="both"/>
              <w:textAlignment w:val="baseline"/>
              <w:rPr>
                <w:rFonts w:ascii="Times New Roman" w:hAnsi="Times New Roman"/>
                <w:sz w:val="24"/>
                <w:szCs w:val="24"/>
              </w:rPr>
            </w:pPr>
          </w:p>
          <w:p w:rsidR="00584251" w:rsidRPr="00667C43" w:rsidRDefault="00584251"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84251" w:rsidRPr="00667C43" w:rsidRDefault="00584251"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84251" w:rsidRPr="00667C43" w:rsidRDefault="00584251"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667C43">
              <w:rPr>
                <w:rFonts w:ascii="Times New Roman" w:hAnsi="Times New Roman"/>
                <w:sz w:val="24"/>
                <w:szCs w:val="24"/>
              </w:rPr>
              <w:lastRenderedPageBreak/>
              <w:t>тому числі фізичних осіб - підприємців, у складі тендерної пропозиції, не може бути підставою для її відхилення замовником.</w:t>
            </w:r>
          </w:p>
        </w:tc>
      </w:tr>
      <w:tr w:rsidR="00584251" w:rsidRPr="00667C43" w:rsidTr="00486983">
        <w:trPr>
          <w:trHeight w:val="334"/>
        </w:trPr>
        <w:tc>
          <w:tcPr>
            <w:tcW w:w="2835" w:type="dxa"/>
          </w:tcPr>
          <w:p w:rsidR="00584251" w:rsidRPr="00594094"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84251" w:rsidRPr="00667C43" w:rsidRDefault="00584251" w:rsidP="00631E71">
            <w:pPr>
              <w:pStyle w:val="Default"/>
              <w:ind w:firstLine="460"/>
              <w:contextualSpacing/>
              <w:jc w:val="both"/>
              <w:rPr>
                <w:color w:val="auto"/>
              </w:rPr>
            </w:pPr>
            <w:r w:rsidRPr="00667C43">
              <w:rPr>
                <w:color w:val="auto"/>
              </w:rPr>
              <w:t>Не вимагається.</w:t>
            </w:r>
          </w:p>
        </w:tc>
      </w:tr>
      <w:tr w:rsidR="00584251"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584251" w:rsidRPr="00667C43" w:rsidTr="003F5002">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Учасник процедури закупівлі має право:</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відхилити таку вимогу</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погодитися з вимогою та продовжити строк дії поданої ним тендерної пропозиції</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251" w:rsidRPr="00667C43" w:rsidTr="006E0BEF">
        <w:trPr>
          <w:trHeight w:val="2298"/>
        </w:trPr>
        <w:tc>
          <w:tcPr>
            <w:tcW w:w="2835" w:type="dxa"/>
            <w:vMerge w:val="restart"/>
            <w:tcBorders>
              <w:right w:val="single" w:sz="4" w:space="0" w:color="auto"/>
            </w:tcBorders>
          </w:tcPr>
          <w:p w:rsidR="00584251" w:rsidRPr="00667C43" w:rsidRDefault="00584251"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84251" w:rsidRPr="00667C43" w:rsidRDefault="0058425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584251" w:rsidRPr="00ED774B" w:rsidRDefault="00584251"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D774B">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D774B">
              <w:rPr>
                <w:rFonts w:ascii="Times New Roman" w:eastAsia="Times New Roman" w:hAnsi="Times New Roman"/>
                <w:b/>
                <w:bCs/>
                <w:sz w:val="23"/>
                <w:szCs w:val="23"/>
                <w:lang w:eastAsia="zh-CN"/>
              </w:rPr>
              <w:t> </w:t>
            </w:r>
            <w:r w:rsidRPr="00ED774B">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D774B">
              <w:rPr>
                <w:rFonts w:ascii="Times New Roman" w:eastAsia="Times New Roman" w:hAnsi="Times New Roman"/>
                <w:b/>
                <w:sz w:val="23"/>
                <w:szCs w:val="23"/>
                <w:lang w:eastAsia="zh-CN"/>
              </w:rPr>
              <w:t>не вимагається</w:t>
            </w:r>
          </w:p>
          <w:p w:rsidR="00584251" w:rsidRPr="00ED774B" w:rsidRDefault="00584251"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D774B">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ED774B">
              <w:rPr>
                <w:rFonts w:ascii="Times New Roman" w:eastAsia="Times New Roman" w:hAnsi="Times New Roman"/>
                <w:sz w:val="23"/>
                <w:szCs w:val="23"/>
                <w:lang w:eastAsia="zh-CN"/>
              </w:rPr>
              <w:t>бенефіціар</w:t>
            </w:r>
            <w:proofErr w:type="spellEnd"/>
            <w:r w:rsidRPr="00ED774B">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осіб та знайдено </w:t>
            </w:r>
            <w:proofErr w:type="spellStart"/>
            <w:r w:rsidRPr="00ED774B">
              <w:rPr>
                <w:rFonts w:ascii="Times New Roman" w:eastAsia="Times New Roman" w:hAnsi="Times New Roman"/>
                <w:sz w:val="23"/>
                <w:szCs w:val="23"/>
                <w:lang w:eastAsia="zh-CN"/>
              </w:rPr>
              <w:t>бенефіціара</w:t>
            </w:r>
            <w:proofErr w:type="spellEnd"/>
            <w:r w:rsidRPr="00ED774B">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84251" w:rsidRPr="00667C43" w:rsidTr="00344101">
        <w:trPr>
          <w:trHeight w:val="3997"/>
        </w:trPr>
        <w:tc>
          <w:tcPr>
            <w:tcW w:w="2835" w:type="dxa"/>
            <w:vMerge/>
            <w:tcBorders>
              <w:right w:val="single" w:sz="4" w:space="0" w:color="auto"/>
            </w:tcBorders>
          </w:tcPr>
          <w:p w:rsidR="00584251" w:rsidRPr="00667C43" w:rsidRDefault="005842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84251" w:rsidRPr="00ED774B" w:rsidRDefault="00584251" w:rsidP="005E5451">
            <w:pPr>
              <w:pStyle w:val="a3"/>
              <w:ind w:firstLine="460"/>
              <w:jc w:val="both"/>
              <w:rPr>
                <w:rFonts w:ascii="Times New Roman" w:eastAsia="Times New Roman" w:hAnsi="Times New Roman"/>
                <w:sz w:val="24"/>
                <w:szCs w:val="24"/>
                <w:lang w:eastAsia="ru-RU"/>
              </w:rPr>
            </w:pPr>
          </w:p>
          <w:p w:rsidR="00584251" w:rsidRPr="00ED774B" w:rsidRDefault="00584251" w:rsidP="001921CE">
            <w:pPr>
              <w:suppressAutoHyphens/>
              <w:spacing w:after="0" w:line="240" w:lineRule="atLeast"/>
              <w:ind w:right="113" w:firstLine="373"/>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84251" w:rsidRPr="00ED774B" w:rsidRDefault="00584251" w:rsidP="005E5451">
            <w:pPr>
              <w:pStyle w:val="a3"/>
              <w:jc w:val="both"/>
              <w:rPr>
                <w:rFonts w:ascii="Times New Roman" w:eastAsia="Times New Roman" w:hAnsi="Times New Roman"/>
                <w:i/>
                <w:sz w:val="24"/>
                <w:szCs w:val="24"/>
                <w:lang w:eastAsia="ru-RU"/>
              </w:rPr>
            </w:pPr>
            <w:r w:rsidRPr="00ED774B">
              <w:rPr>
                <w:rFonts w:ascii="Times New Roman" w:eastAsia="Times New Roman" w:hAnsi="Times New Roman"/>
                <w:sz w:val="24"/>
                <w:szCs w:val="24"/>
                <w:lang w:eastAsia="ru-RU"/>
              </w:rPr>
              <w:t xml:space="preserve">  </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74B">
              <w:rPr>
                <w:rFonts w:ascii="Times New Roman" w:eastAsia="Times New Roman" w:hAnsi="Times New Roman"/>
                <w:sz w:val="24"/>
                <w:szCs w:val="24"/>
                <w:lang w:eastAsia="ru-RU"/>
              </w:rPr>
              <w:t>антиконкурентних</w:t>
            </w:r>
            <w:proofErr w:type="spellEnd"/>
            <w:r w:rsidRPr="00ED774B">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5) </w:t>
            </w:r>
            <w:r w:rsidRPr="00ED774B">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6) </w:t>
            </w:r>
            <w:r w:rsidRPr="00ED774B">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ED774B">
              <w:rPr>
                <w:rFonts w:ascii="Times New Roman" w:hAnsi="Times New Roman"/>
              </w:rPr>
              <w:t xml:space="preserve"> </w:t>
            </w:r>
            <w:r w:rsidRPr="00ED774B">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251" w:rsidRPr="00ED774B" w:rsidRDefault="00584251" w:rsidP="00182881">
            <w:pPr>
              <w:pStyle w:val="a3"/>
              <w:ind w:firstLine="460"/>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D774B">
              <w:rPr>
                <w:rFonts w:ascii="Times New Roman" w:hAnsi="Times New Roman"/>
                <w:b/>
                <w:bCs/>
                <w:color w:val="000000"/>
                <w:sz w:val="24"/>
                <w:szCs w:val="24"/>
                <w:lang w:eastAsia="ru-RU"/>
              </w:rPr>
              <w:t xml:space="preserve"> </w:t>
            </w:r>
            <w:r w:rsidRPr="00ED774B">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84251" w:rsidRPr="00ED774B" w:rsidRDefault="00584251" w:rsidP="00CB3B99">
            <w:pPr>
              <w:pStyle w:val="a3"/>
              <w:ind w:firstLine="459"/>
              <w:jc w:val="both"/>
              <w:rPr>
                <w:rFonts w:ascii="Times New Roman" w:eastAsia="Times New Roman" w:hAnsi="Times New Roman"/>
                <w:sz w:val="24"/>
                <w:szCs w:val="24"/>
                <w:lang w:eastAsia="ru-RU"/>
              </w:rPr>
            </w:pPr>
            <w:r w:rsidRPr="00ED774B">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ED774B">
              <w:rPr>
                <w:rFonts w:ascii="Times New Roman" w:eastAsia="Times New Roman" w:hAnsi="Times New Roman"/>
                <w:i/>
                <w:sz w:val="24"/>
                <w:szCs w:val="24"/>
                <w:lang w:eastAsia="ru-RU"/>
              </w:rPr>
              <w:t>их</w:t>
            </w:r>
            <w:proofErr w:type="spellEnd"/>
            <w:r w:rsidRPr="00ED774B">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ED774B">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Переможець процедури закупівлі у строк, що не перевищує </w:t>
            </w:r>
            <w:r w:rsidRPr="00ED774B">
              <w:rPr>
                <w:rFonts w:ascii="Times New Roman" w:eastAsia="Times New Roman" w:hAnsi="Times New Roman"/>
                <w:b/>
                <w:sz w:val="24"/>
                <w:szCs w:val="24"/>
                <w:lang w:eastAsia="ru-RU"/>
              </w:rPr>
              <w:t>чотири дні</w:t>
            </w:r>
            <w:r w:rsidRPr="00ED774B">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84251" w:rsidRPr="00ED774B" w:rsidRDefault="00584251" w:rsidP="005E5451">
            <w:pPr>
              <w:pStyle w:val="a3"/>
              <w:ind w:left="60" w:firstLine="428"/>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CA5965">
            <w:pPr>
              <w:spacing w:after="0" w:line="240" w:lineRule="auto"/>
              <w:ind w:firstLine="343"/>
              <w:jc w:val="both"/>
              <w:rPr>
                <w:rFonts w:ascii="Times New Roman" w:hAnsi="Times New Roman"/>
                <w:sz w:val="24"/>
                <w:szCs w:val="24"/>
                <w:lang w:eastAsia="ru-RU"/>
              </w:rPr>
            </w:pPr>
            <w:r w:rsidRPr="00ED774B">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w:t>
            </w:r>
            <w:r w:rsidRPr="00ED774B">
              <w:rPr>
                <w:rFonts w:ascii="Times New Roman" w:eastAsia="Times New Roman" w:hAnsi="Times New Roman"/>
                <w:sz w:val="24"/>
                <w:szCs w:val="24"/>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251" w:rsidRPr="00667C43" w:rsidTr="006F3CA1">
        <w:trPr>
          <w:trHeight w:val="878"/>
        </w:trPr>
        <w:tc>
          <w:tcPr>
            <w:tcW w:w="2835" w:type="dxa"/>
          </w:tcPr>
          <w:p w:rsidR="00584251" w:rsidRPr="00667C43" w:rsidRDefault="005842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84251" w:rsidRPr="00667C43" w:rsidRDefault="005842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Pr="00667C43">
              <w:rPr>
                <w:rFonts w:ascii="Times New Roman" w:hAnsi="Times New Roman"/>
                <w:sz w:val="24"/>
                <w:szCs w:val="24"/>
              </w:rPr>
              <w:t xml:space="preserve"> </w:t>
            </w:r>
          </w:p>
          <w:p w:rsidR="00584251" w:rsidRPr="0012190A" w:rsidRDefault="00584251"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584251" w:rsidRPr="0012190A" w:rsidRDefault="00584251"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«веб-сторінку»;</w:t>
            </w:r>
          </w:p>
          <w:p w:rsidR="00584251" w:rsidRPr="0012190A" w:rsidRDefault="00584251"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84251" w:rsidRDefault="005842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84251" w:rsidRPr="001E2FA5" w:rsidRDefault="00584251"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довідку</w:t>
            </w:r>
            <w:r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1E2FA5">
              <w:rPr>
                <w:rFonts w:ascii="Times New Roman" w:eastAsia="Times New Roman" w:hAnsi="Times New Roman"/>
                <w:sz w:val="24"/>
                <w:szCs w:val="24"/>
                <w:lang w:val="ru-RU" w:eastAsia="ar-SA"/>
              </w:rPr>
              <w:t>e</w:t>
            </w:r>
            <w:r w:rsidRPr="001E2FA5">
              <w:rPr>
                <w:rFonts w:ascii="Times New Roman" w:eastAsia="Times New Roman" w:hAnsi="Times New Roman"/>
                <w:sz w:val="24"/>
                <w:szCs w:val="24"/>
                <w:lang w:eastAsia="ar-SA"/>
              </w:rPr>
              <w:t>-</w:t>
            </w:r>
            <w:proofErr w:type="spellStart"/>
            <w:r w:rsidRPr="001E2FA5">
              <w:rPr>
                <w:rFonts w:ascii="Times New Roman" w:eastAsia="Times New Roman" w:hAnsi="Times New Roman"/>
                <w:sz w:val="24"/>
                <w:szCs w:val="24"/>
                <w:lang w:val="ru-RU" w:eastAsia="ar-SA"/>
              </w:rPr>
              <w:t>mail</w:t>
            </w:r>
            <w:proofErr w:type="spellEnd"/>
            <w:r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Pr="001E2FA5">
              <w:rPr>
                <w:rFonts w:ascii="Times New Roman" w:eastAsia="Times New Roman" w:hAnsi="Times New Roman"/>
                <w:sz w:val="24"/>
                <w:szCs w:val="24"/>
                <w:lang w:eastAsia="ar-SA"/>
              </w:rPr>
              <w:t>електропостачальника</w:t>
            </w:r>
            <w:proofErr w:type="spellEnd"/>
            <w:r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584251" w:rsidRPr="00667C43" w:rsidRDefault="00584251" w:rsidP="005E5451">
            <w:pPr>
              <w:suppressAutoHyphens/>
              <w:spacing w:after="0" w:line="240" w:lineRule="auto"/>
              <w:ind w:firstLine="460"/>
              <w:jc w:val="both"/>
              <w:rPr>
                <w:rFonts w:ascii="Times New Roman" w:eastAsia="Times New Roman" w:hAnsi="Times New Roman"/>
                <w:sz w:val="24"/>
                <w:szCs w:val="24"/>
                <w:lang w:eastAsia="ar-SA"/>
              </w:rPr>
            </w:pPr>
          </w:p>
          <w:p w:rsidR="00584251" w:rsidRPr="00CA5965" w:rsidRDefault="005842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eastAsia="Times New Roman" w:hAnsi="Times New Roman"/>
                <w:sz w:val="24"/>
                <w:szCs w:val="24"/>
                <w:lang w:eastAsia="ar-SA"/>
              </w:rPr>
              <w:t>акону</w:t>
            </w:r>
            <w:r w:rsidRPr="00667C43">
              <w:rPr>
                <w:rFonts w:ascii="Times New Roman" w:eastAsia="Times New Roman" w:hAnsi="Times New Roman"/>
                <w:sz w:val="24"/>
                <w:szCs w:val="24"/>
                <w:lang w:eastAsia="ar-SA"/>
              </w:rPr>
              <w:t>).</w:t>
            </w:r>
          </w:p>
        </w:tc>
      </w:tr>
      <w:tr w:rsidR="00584251" w:rsidRPr="00667C43" w:rsidTr="00AE630F">
        <w:trPr>
          <w:trHeight w:val="2855"/>
        </w:trPr>
        <w:tc>
          <w:tcPr>
            <w:tcW w:w="2835" w:type="dxa"/>
            <w:shd w:val="clear" w:color="auto" w:fill="auto"/>
          </w:tcPr>
          <w:p w:rsidR="00584251" w:rsidRPr="00667C43" w:rsidRDefault="005842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84251" w:rsidRPr="00667C43" w:rsidRDefault="005842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84251" w:rsidRPr="00667C43" w:rsidRDefault="005842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584251" w:rsidRPr="00667C43" w:rsidRDefault="005842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584251" w:rsidRPr="00667C43" w:rsidRDefault="00584251"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84251" w:rsidRPr="00667C43" w:rsidTr="00486983">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84251" w:rsidRPr="00667C43" w:rsidRDefault="005842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84251" w:rsidRPr="00667C43" w:rsidTr="00C260F5">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4251"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0F0E2B" w:rsidRDefault="00584251"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w:t>
            </w:r>
            <w:r w:rsidRPr="000F0E2B">
              <w:rPr>
                <w:rFonts w:ascii="Times New Roman" w:hAnsi="Times New Roman"/>
                <w:sz w:val="24"/>
                <w:szCs w:val="24"/>
                <w:shd w:val="clear" w:color="auto" w:fill="FFFFFF"/>
              </w:rPr>
              <w:lastRenderedPageBreak/>
              <w:t xml:space="preserve">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84251" w:rsidRPr="00667C43" w:rsidTr="00486983">
        <w:trPr>
          <w:trHeight w:val="441"/>
        </w:trPr>
        <w:tc>
          <w:tcPr>
            <w:tcW w:w="9810" w:type="dxa"/>
            <w:gridSpan w:val="2"/>
            <w:tcBorders>
              <w:top w:val="single" w:sz="4" w:space="0" w:color="auto"/>
            </w:tcBorders>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84251" w:rsidRPr="00667C43" w:rsidTr="00486983">
        <w:tc>
          <w:tcPr>
            <w:tcW w:w="2835" w:type="dxa"/>
          </w:tcPr>
          <w:p w:rsidR="00584251" w:rsidRPr="00667C43" w:rsidRDefault="005842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84251" w:rsidRPr="00667C43" w:rsidRDefault="00584251" w:rsidP="005E5451">
            <w:pPr>
              <w:spacing w:after="0" w:line="240" w:lineRule="auto"/>
              <w:rPr>
                <w:rFonts w:ascii="Times New Roman" w:eastAsia="Times New Roman" w:hAnsi="Times New Roman"/>
                <w:sz w:val="24"/>
                <w:szCs w:val="24"/>
                <w:highlight w:val="yellow"/>
                <w:lang w:eastAsia="uk-UA"/>
              </w:rPr>
            </w:pPr>
          </w:p>
        </w:tc>
        <w:tc>
          <w:tcPr>
            <w:tcW w:w="6975" w:type="dxa"/>
          </w:tcPr>
          <w:p w:rsidR="00584251" w:rsidRPr="00667C43" w:rsidRDefault="005842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584251" w:rsidRPr="00667C43" w:rsidRDefault="005842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84251" w:rsidRPr="00667C43" w:rsidRDefault="005842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4251" w:rsidRPr="00667C43" w:rsidRDefault="005842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84251" w:rsidRPr="00667C43" w:rsidTr="00486983">
        <w:tc>
          <w:tcPr>
            <w:tcW w:w="2835" w:type="dxa"/>
          </w:tcPr>
          <w:p w:rsidR="00584251" w:rsidRPr="00667C43" w:rsidRDefault="005842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4251" w:rsidRPr="00667C43" w:rsidRDefault="00584251" w:rsidP="000F0E2B">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84251" w:rsidRPr="00667C43" w:rsidTr="00486983">
        <w:trPr>
          <w:trHeight w:val="392"/>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84251" w:rsidRPr="00667C43" w:rsidTr="00486983">
        <w:tc>
          <w:tcPr>
            <w:tcW w:w="2835" w:type="dxa"/>
          </w:tcPr>
          <w:p w:rsidR="00584251" w:rsidRPr="00667C43" w:rsidRDefault="005842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84251" w:rsidRPr="00667C43" w:rsidRDefault="00584251"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84251" w:rsidRPr="00667C43" w:rsidRDefault="005842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84251" w:rsidRPr="00667C43" w:rsidRDefault="00584251"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витрати щодо оплати послуг з передачі електричної енергії.</w:t>
            </w:r>
          </w:p>
        </w:tc>
      </w:tr>
      <w:tr w:rsidR="00584251" w:rsidRPr="00667C43" w:rsidTr="007A7ECA">
        <w:trPr>
          <w:trHeight w:val="764"/>
        </w:trPr>
        <w:tc>
          <w:tcPr>
            <w:tcW w:w="2835" w:type="dxa"/>
            <w:shd w:val="clear" w:color="auto" w:fill="auto"/>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584251" w:rsidRPr="00667C43" w:rsidRDefault="00584251"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584251" w:rsidRPr="00667C43" w:rsidRDefault="00584251"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84251" w:rsidRPr="00667C43" w:rsidTr="00486983">
        <w:trPr>
          <w:trHeight w:val="764"/>
        </w:trPr>
        <w:tc>
          <w:tcPr>
            <w:tcW w:w="2835" w:type="dxa"/>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ED774B">
              <w:rPr>
                <w:rFonts w:ascii="Times New Roman" w:hAnsi="Times New Roman"/>
                <w:b/>
                <w:bCs/>
                <w:sz w:val="24"/>
                <w:szCs w:val="24"/>
              </w:rPr>
              <w:t>.</w:t>
            </w:r>
          </w:p>
          <w:p w:rsidR="00584251" w:rsidRPr="00ED774B" w:rsidRDefault="005842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ED774B">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Pr="00ED774B">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584251" w:rsidRPr="00ED774B" w:rsidRDefault="00584251" w:rsidP="002C5D95">
            <w:pPr>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584251" w:rsidRPr="00ED774B" w:rsidRDefault="00584251" w:rsidP="00422E51">
            <w:pPr>
              <w:tabs>
                <w:tab w:val="center" w:pos="4153"/>
                <w:tab w:val="right" w:pos="8306"/>
              </w:tabs>
              <w:spacing w:after="0" w:line="240" w:lineRule="auto"/>
              <w:jc w:val="both"/>
              <w:rPr>
                <w:rFonts w:ascii="Times New Roman" w:hAnsi="Times New Roman"/>
                <w:bCs/>
                <w:sz w:val="24"/>
                <w:szCs w:val="24"/>
              </w:rPr>
            </w:pP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ED774B">
              <w:rPr>
                <w:rFonts w:ascii="Times New Roman" w:hAnsi="Times New Roman"/>
                <w:bCs/>
                <w:sz w:val="24"/>
                <w:szCs w:val="24"/>
              </w:rPr>
              <w:lastRenderedPageBreak/>
              <w:t>пункту.</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Обґрунтування аномально низької тендерної пропозиції може містити інформацію про:</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4251" w:rsidRPr="00ED774B" w:rsidRDefault="00584251" w:rsidP="00F9354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4251" w:rsidRPr="00ED774B" w:rsidRDefault="00584251" w:rsidP="00F9354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3) отримання учасником державної допомоги згідно із законодавством.</w:t>
            </w:r>
          </w:p>
          <w:p w:rsidR="00584251" w:rsidRPr="00ED774B" w:rsidRDefault="00584251" w:rsidP="002C5D95">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584251" w:rsidRPr="00ED774B" w:rsidRDefault="0058425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4251" w:rsidRPr="00ED774B" w:rsidRDefault="0058425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ED774B">
              <w:rPr>
                <w:rFonts w:ascii="Times New Roman" w:eastAsia="Times New Roman" w:hAnsi="Times New Roman"/>
                <w:color w:val="000000"/>
                <w:sz w:val="24"/>
                <w:szCs w:val="24"/>
                <w:lang w:eastAsia="ru-RU"/>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ED774B">
              <w:rPr>
                <w:rFonts w:ascii="Times New Roman" w:eastAsia="Times New Roman" w:hAnsi="Times New Roman"/>
                <w:color w:val="000000"/>
                <w:sz w:val="24"/>
                <w:szCs w:val="24"/>
                <w:lang w:eastAsia="ru-RU"/>
              </w:rPr>
              <w:t>невиправлення</w:t>
            </w:r>
            <w:proofErr w:type="spellEnd"/>
            <w:r w:rsidRPr="00ED774B">
              <w:rPr>
                <w:rFonts w:ascii="Times New Roman" w:eastAsia="Times New Roman" w:hAnsi="Times New Roman"/>
                <w:color w:val="000000"/>
                <w:sz w:val="24"/>
                <w:szCs w:val="24"/>
                <w:lang w:eastAsia="ru-RU"/>
              </w:rPr>
              <w:t xml:space="preserve"> учасниками виявлених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84251" w:rsidRPr="00ED774B" w:rsidRDefault="0058425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ED774B">
              <w:rPr>
                <w:rFonts w:ascii="Times New Roman" w:eastAsia="Times New Roman" w:hAnsi="Times New Roman"/>
                <w:color w:val="000000"/>
                <w:sz w:val="24"/>
                <w:szCs w:val="24"/>
                <w:lang w:eastAsia="ru-RU"/>
              </w:rPr>
              <w:t>проєктом</w:t>
            </w:r>
            <w:proofErr w:type="spellEnd"/>
            <w:r w:rsidRPr="00ED774B">
              <w:rPr>
                <w:rFonts w:ascii="Times New Roman" w:eastAsia="Times New Roman" w:hAnsi="Times New Roman"/>
                <w:color w:val="000000"/>
                <w:sz w:val="24"/>
                <w:szCs w:val="24"/>
                <w:lang w:eastAsia="ru-RU"/>
              </w:rPr>
              <w:t xml:space="preserve"> договору про закупівлю, викладеним в </w:t>
            </w:r>
            <w:r w:rsidRPr="00ED774B">
              <w:rPr>
                <w:rFonts w:ascii="Times New Roman" w:eastAsia="Times New Roman" w:hAnsi="Times New Roman"/>
                <w:b/>
                <w:bCs/>
                <w:iCs/>
                <w:color w:val="000000"/>
                <w:sz w:val="24"/>
                <w:szCs w:val="24"/>
                <w:lang w:eastAsia="ru-RU"/>
              </w:rPr>
              <w:t xml:space="preserve">Додатку 2 </w:t>
            </w:r>
            <w:r w:rsidRPr="00ED774B">
              <w:rPr>
                <w:rFonts w:ascii="Times New Roman" w:eastAsia="Times New Roman" w:hAnsi="Times New Roman"/>
                <w:bCs/>
                <w:iCs/>
                <w:color w:val="000000"/>
                <w:sz w:val="24"/>
                <w:szCs w:val="24"/>
                <w:lang w:eastAsia="ru-RU"/>
              </w:rPr>
              <w:t>до</w:t>
            </w:r>
            <w:r w:rsidRPr="00ED774B">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ED774B">
              <w:rPr>
                <w:rFonts w:ascii="Times New Roman" w:eastAsia="Times New Roman" w:hAnsi="Times New Roman"/>
                <w:b/>
                <w:bCs/>
                <w:iCs/>
                <w:color w:val="000000"/>
                <w:sz w:val="24"/>
                <w:szCs w:val="24"/>
                <w:lang w:eastAsia="ru-RU"/>
              </w:rPr>
              <w:t>в п. 4 Розділу 3</w:t>
            </w:r>
            <w:r w:rsidRPr="00ED774B">
              <w:rPr>
                <w:rFonts w:ascii="Times New Roman" w:eastAsia="Times New Roman" w:hAnsi="Times New Roman"/>
                <w:color w:val="000000"/>
                <w:sz w:val="24"/>
                <w:szCs w:val="24"/>
                <w:lang w:eastAsia="ru-RU"/>
              </w:rPr>
              <w:t xml:space="preserve"> до тендерної документації.</w:t>
            </w:r>
          </w:p>
        </w:tc>
      </w:tr>
      <w:tr w:rsidR="00584251" w:rsidRPr="00667C43" w:rsidTr="00486983">
        <w:trPr>
          <w:trHeight w:val="416"/>
        </w:trPr>
        <w:tc>
          <w:tcPr>
            <w:tcW w:w="2835" w:type="dxa"/>
          </w:tcPr>
          <w:p w:rsidR="00584251" w:rsidRPr="00667C43" w:rsidRDefault="005842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84251" w:rsidRPr="00667C43" w:rsidRDefault="00584251" w:rsidP="005E5451">
            <w:pPr>
              <w:spacing w:after="150" w:line="240" w:lineRule="auto"/>
              <w:jc w:val="both"/>
              <w:rPr>
                <w:rFonts w:ascii="Times New Roman" w:eastAsia="Times New Roman" w:hAnsi="Times New Roman"/>
                <w:sz w:val="24"/>
                <w:szCs w:val="24"/>
                <w:lang w:eastAsia="uk-UA"/>
              </w:rPr>
            </w:pPr>
          </w:p>
          <w:p w:rsidR="00584251" w:rsidRPr="00667C43" w:rsidRDefault="005842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1) учасник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ED774B">
              <w:rPr>
                <w:rFonts w:ascii="Times New Roman" w:eastAsia="Times New Roman" w:hAnsi="Times New Roman"/>
                <w:color w:val="000000"/>
                <w:sz w:val="24"/>
                <w:szCs w:val="24"/>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74B">
              <w:rPr>
                <w:rFonts w:ascii="Times New Roman" w:eastAsia="Times New Roman" w:hAnsi="Times New Roman"/>
                <w:color w:val="000000"/>
                <w:sz w:val="24"/>
                <w:szCs w:val="24"/>
                <w:lang w:eastAsia="uk-UA"/>
              </w:rPr>
              <w:t>бенефіціарним</w:t>
            </w:r>
            <w:proofErr w:type="spellEnd"/>
            <w:r w:rsidRPr="00ED774B">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2) тендерна пропозиція: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строк дії якої закінчився;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3) переможець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не надав у спосіб, зазначений в тендерній документації, </w:t>
            </w:r>
            <w:r w:rsidRPr="00ED774B">
              <w:rPr>
                <w:rFonts w:ascii="Times New Roman" w:eastAsia="Times New Roman" w:hAnsi="Times New Roman"/>
                <w:color w:val="000000"/>
                <w:sz w:val="24"/>
                <w:szCs w:val="24"/>
                <w:lang w:eastAsia="uk-UA"/>
              </w:rPr>
              <w:lastRenderedPageBreak/>
              <w:t>документи, що підтверджують відсутність підстав, установлених статтею 17 Закону, з урахуванням пункту 5 Розділу 3;</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251" w:rsidRPr="00ED774B" w:rsidRDefault="00584251"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4251" w:rsidRPr="00ED774B" w:rsidRDefault="00584251"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ED774B">
              <w:rPr>
                <w:rFonts w:ascii="Times New Roman" w:eastAsia="Times New Roman" w:hAnsi="Times New Roman"/>
                <w:color w:val="000000"/>
                <w:sz w:val="24"/>
                <w:szCs w:val="24"/>
                <w:lang w:eastAsia="uk-UA"/>
              </w:rPr>
              <w:t>електрогенерації</w:t>
            </w:r>
            <w:proofErr w:type="spellEnd"/>
            <w:r w:rsidRPr="00ED774B">
              <w:rPr>
                <w:rFonts w:ascii="Times New Roman" w:eastAsia="Times New Roman" w:hAnsi="Times New Roman"/>
                <w:color w:val="000000"/>
                <w:sz w:val="24"/>
                <w:szCs w:val="24"/>
                <w:lang w:eastAsia="uk-UA"/>
              </w:rPr>
              <w:t xml:space="preserve">). У випадку, якщо учасник не є </w:t>
            </w:r>
            <w:proofErr w:type="spellStart"/>
            <w:r w:rsidRPr="00ED774B">
              <w:rPr>
                <w:rFonts w:ascii="Times New Roman" w:eastAsia="Times New Roman" w:hAnsi="Times New Roman"/>
                <w:color w:val="000000"/>
                <w:sz w:val="24"/>
                <w:szCs w:val="24"/>
                <w:lang w:eastAsia="uk-UA"/>
              </w:rPr>
              <w:t>електрогенеруючою</w:t>
            </w:r>
            <w:proofErr w:type="spellEnd"/>
            <w:r w:rsidRPr="00ED774B">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ED774B">
              <w:rPr>
                <w:rFonts w:ascii="Times New Roman" w:eastAsia="Times New Roman" w:hAnsi="Times New Roman"/>
                <w:color w:val="000000"/>
                <w:sz w:val="24"/>
                <w:szCs w:val="24"/>
                <w:lang w:eastAsia="uk-UA"/>
              </w:rPr>
              <w:t>електропостачальника</w:t>
            </w:r>
            <w:proofErr w:type="spellEnd"/>
            <w:r w:rsidRPr="00ED774B">
              <w:rPr>
                <w:rFonts w:ascii="Times New Roman" w:eastAsia="Times New Roman" w:hAnsi="Times New Roman"/>
                <w:color w:val="000000"/>
                <w:sz w:val="24"/>
                <w:szCs w:val="24"/>
                <w:lang w:eastAsia="uk-UA"/>
              </w:rPr>
              <w:t xml:space="preserve"> без можливості здійснювати </w:t>
            </w:r>
            <w:proofErr w:type="spellStart"/>
            <w:r w:rsidRPr="00ED774B">
              <w:rPr>
                <w:rFonts w:ascii="Times New Roman" w:eastAsia="Times New Roman" w:hAnsi="Times New Roman"/>
                <w:color w:val="000000"/>
                <w:sz w:val="24"/>
                <w:szCs w:val="24"/>
                <w:lang w:eastAsia="uk-UA"/>
              </w:rPr>
              <w:t>електрогенерацію</w:t>
            </w:r>
            <w:proofErr w:type="spellEnd"/>
            <w:r w:rsidRPr="00ED774B">
              <w:rPr>
                <w:rFonts w:ascii="Times New Roman" w:eastAsia="Times New Roman" w:hAnsi="Times New Roman"/>
                <w:color w:val="000000"/>
                <w:sz w:val="24"/>
                <w:szCs w:val="24"/>
                <w:lang w:eastAsia="uk-UA"/>
              </w:rPr>
              <w:t>;</w:t>
            </w:r>
          </w:p>
          <w:p w:rsidR="00584251" w:rsidRPr="00ED774B" w:rsidRDefault="005842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84251" w:rsidRPr="00667C43" w:rsidTr="00486983">
        <w:trPr>
          <w:trHeight w:val="269"/>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84251" w:rsidRPr="00ED774B" w:rsidTr="00486983">
        <w:tc>
          <w:tcPr>
            <w:tcW w:w="2835" w:type="dxa"/>
          </w:tcPr>
          <w:p w:rsidR="00584251" w:rsidRPr="00ED774B" w:rsidRDefault="00584251" w:rsidP="005E5451">
            <w:pPr>
              <w:spacing w:after="150" w:line="240" w:lineRule="auto"/>
              <w:jc w:val="both"/>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ED774B">
              <w:rPr>
                <w:rFonts w:ascii="Times New Roman" w:eastAsia="Times New Roman" w:hAnsi="Times New Roman"/>
                <w:b/>
                <w:bCs/>
                <w:sz w:val="24"/>
                <w:szCs w:val="24"/>
                <w:lang w:eastAsia="uk-UA"/>
              </w:rPr>
              <w:lastRenderedPageBreak/>
              <w:t>відбувся</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rPr>
            </w:pPr>
            <w:r w:rsidRPr="00ED774B">
              <w:rPr>
                <w:rFonts w:ascii="Times New Roman" w:hAnsi="Times New Roman"/>
                <w:sz w:val="24"/>
                <w:szCs w:val="24"/>
              </w:rPr>
              <w:lastRenderedPageBreak/>
              <w:t>Замовник відміняє тендер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Замовник відміняє відкриті торги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1) відсутності подальшої потреби в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3) скорочення обсягу видатків на здійснення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4) коли здійснення закупівлі стало неможливим внаслідок дії обставин непереборної сили.</w:t>
            </w:r>
          </w:p>
          <w:p w:rsidR="00584251" w:rsidRPr="00ED774B" w:rsidRDefault="00584251" w:rsidP="002B219F">
            <w:pPr>
              <w:spacing w:after="0" w:line="240" w:lineRule="auto"/>
              <w:ind w:firstLine="459"/>
              <w:jc w:val="both"/>
              <w:rPr>
                <w:rFonts w:ascii="Times New Roman" w:hAnsi="Times New Roman"/>
                <w:sz w:val="24"/>
                <w:szCs w:val="24"/>
              </w:rPr>
            </w:pP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2) не</w:t>
            </w:r>
            <w:r w:rsidRPr="00ED774B">
              <w:rPr>
                <w:rFonts w:ascii="Times New Roman" w:eastAsia="Times New Roman" w:hAnsi="Times New Roman"/>
                <w:color w:val="000000"/>
                <w:sz w:val="23"/>
                <w:szCs w:val="23"/>
                <w:shd w:val="solid" w:color="FFFFFF" w:fill="FFFFFF"/>
              </w:rPr>
              <w:t>подання жодної тендерної пропозиції для участі</w:t>
            </w:r>
            <w:r w:rsidRPr="00ED774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     Відкриті торги можуть бути відмінені частково (за лотом).</w:t>
            </w:r>
          </w:p>
          <w:p w:rsidR="00584251" w:rsidRPr="00ED774B" w:rsidRDefault="00584251" w:rsidP="00122CD8">
            <w:pPr>
              <w:suppressAutoHyphens/>
              <w:spacing w:after="0" w:line="240" w:lineRule="auto"/>
              <w:ind w:right="162"/>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84251" w:rsidRPr="00ED774B" w:rsidRDefault="0058425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84251" w:rsidRPr="00ED774B" w:rsidRDefault="00584251" w:rsidP="00122CD8">
            <w:pPr>
              <w:spacing w:after="0" w:line="240" w:lineRule="auto"/>
              <w:ind w:firstLine="459"/>
              <w:jc w:val="both"/>
              <w:rPr>
                <w:rFonts w:ascii="Times New Roman" w:hAnsi="Times New Roman"/>
                <w:sz w:val="24"/>
                <w:szCs w:val="24"/>
              </w:rPr>
            </w:pPr>
            <w:r w:rsidRPr="00ED774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84251" w:rsidRPr="00ED774B" w:rsidTr="00486983">
        <w:tc>
          <w:tcPr>
            <w:tcW w:w="2835" w:type="dxa"/>
          </w:tcPr>
          <w:p w:rsidR="00584251" w:rsidRPr="00ED774B" w:rsidRDefault="00584251" w:rsidP="005E5451">
            <w:pPr>
              <w:spacing w:after="15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584251" w:rsidRPr="00ED774B" w:rsidRDefault="00584251" w:rsidP="005E5451">
            <w:pPr>
              <w:pStyle w:val="Default"/>
              <w:ind w:firstLine="460"/>
              <w:jc w:val="both"/>
            </w:pPr>
            <w:r w:rsidRPr="00ED774B">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84251" w:rsidRPr="00ED774B" w:rsidRDefault="00584251" w:rsidP="00970F96">
            <w:pPr>
              <w:pStyle w:val="Default"/>
              <w:ind w:firstLine="460"/>
              <w:jc w:val="both"/>
            </w:pPr>
            <w:r w:rsidRPr="00ED774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251" w:rsidRPr="00ED774B" w:rsidRDefault="00584251" w:rsidP="00970F96">
            <w:pPr>
              <w:pStyle w:val="Default"/>
              <w:ind w:firstLine="460"/>
              <w:jc w:val="both"/>
              <w:rPr>
                <w:color w:val="auto"/>
              </w:rPr>
            </w:pPr>
            <w:r w:rsidRPr="00ED774B">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 xml:space="preserve">3. </w:t>
            </w:r>
            <w:proofErr w:type="spellStart"/>
            <w:r w:rsidRPr="00ED774B">
              <w:rPr>
                <w:rFonts w:ascii="Times New Roman" w:eastAsia="Times New Roman" w:hAnsi="Times New Roman"/>
                <w:b/>
                <w:bCs/>
                <w:sz w:val="24"/>
                <w:szCs w:val="24"/>
                <w:lang w:eastAsia="uk-UA"/>
              </w:rPr>
              <w:t>Проєкт</w:t>
            </w:r>
            <w:proofErr w:type="spellEnd"/>
            <w:r w:rsidRPr="00ED774B">
              <w:rPr>
                <w:rFonts w:ascii="Times New Roman" w:eastAsia="Times New Roman" w:hAnsi="Times New Roman"/>
                <w:b/>
                <w:bCs/>
                <w:sz w:val="24"/>
                <w:szCs w:val="24"/>
                <w:lang w:eastAsia="uk-UA"/>
              </w:rPr>
              <w:t xml:space="preserve"> договору про закупівлю</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про закупівлю міститься в </w:t>
            </w:r>
            <w:r w:rsidRPr="00ED774B">
              <w:rPr>
                <w:rFonts w:ascii="Times New Roman" w:hAnsi="Times New Roman"/>
                <w:b/>
                <w:sz w:val="24"/>
                <w:szCs w:val="24"/>
                <w:lang w:eastAsia="ru-RU"/>
              </w:rPr>
              <w:t>Додатку 2</w:t>
            </w:r>
            <w:r w:rsidRPr="00ED774B">
              <w:rPr>
                <w:rFonts w:ascii="Times New Roman" w:hAnsi="Times New Roman"/>
                <w:sz w:val="24"/>
                <w:szCs w:val="24"/>
                <w:lang w:eastAsia="ru-RU"/>
              </w:rPr>
              <w:t xml:space="preserve"> до тендерної документації.</w:t>
            </w:r>
          </w:p>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Договір про закупівлю укладається відповідно до норм </w:t>
            </w:r>
            <w:r w:rsidRPr="00ED774B">
              <w:rPr>
                <w:rFonts w:ascii="Times New Roman" w:hAnsi="Times New Roman"/>
                <w:sz w:val="24"/>
                <w:szCs w:val="24"/>
                <w:lang w:eastAsia="ru-RU"/>
              </w:rPr>
              <w:lastRenderedPageBreak/>
              <w:t xml:space="preserve">Цивільного кодексу України та Господарського кодексу України з урахуванням особливостей, визначених Законом про публічні закупівлі. </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1) відповідну інформацію про право підписання договору про закупівлю;</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4251" w:rsidRPr="00ED774B" w:rsidRDefault="00584251" w:rsidP="002B219F">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4.</w:t>
            </w:r>
            <w:r w:rsidRPr="00ED774B">
              <w:rPr>
                <w:rFonts w:ascii="Times New Roman" w:hAnsi="Times New Roman"/>
                <w:b/>
                <w:sz w:val="24"/>
                <w:szCs w:val="24"/>
                <w:lang w:eastAsia="uk-UA"/>
              </w:rPr>
              <w:t xml:space="preserve"> </w:t>
            </w:r>
            <w:r w:rsidRPr="00ED774B">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84251" w:rsidRPr="00ED774B" w:rsidRDefault="00584251" w:rsidP="002B219F">
            <w:pPr>
              <w:pStyle w:val="rvps2"/>
              <w:spacing w:before="0" w:beforeAutospacing="0" w:after="0" w:afterAutospacing="0"/>
              <w:ind w:firstLine="459"/>
              <w:jc w:val="both"/>
              <w:textAlignment w:val="baseline"/>
              <w:rPr>
                <w:lang w:val="uk-UA"/>
              </w:rPr>
            </w:pPr>
            <w:r w:rsidRPr="00ED774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251" w:rsidRPr="00ED774B" w:rsidRDefault="00584251" w:rsidP="00310813">
            <w:pPr>
              <w:shd w:val="clear" w:color="auto" w:fill="FFFFFF"/>
              <w:spacing w:after="150"/>
              <w:ind w:firstLine="450"/>
              <w:jc w:val="both"/>
              <w:rPr>
                <w:rFonts w:ascii="Times New Roman" w:eastAsia="Times New Roman" w:hAnsi="Times New Roman"/>
                <w:sz w:val="24"/>
                <w:szCs w:val="24"/>
                <w:lang w:val="ru-RU" w:eastAsia="ru-RU"/>
              </w:rPr>
            </w:pPr>
            <w:bookmarkStart w:id="1" w:name="n1769"/>
            <w:bookmarkEnd w:id="1"/>
            <w:r w:rsidRPr="00ED774B">
              <w:t xml:space="preserve">1)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зокрема</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урахуванням</w:t>
            </w:r>
            <w:proofErr w:type="spellEnd"/>
            <w:r w:rsidRPr="00ED774B">
              <w:rPr>
                <w:rFonts w:ascii="Times New Roman" w:eastAsia="Times New Roman" w:hAnsi="Times New Roman"/>
                <w:sz w:val="24"/>
                <w:szCs w:val="24"/>
                <w:lang w:val="ru-RU" w:eastAsia="ru-RU"/>
              </w:rPr>
              <w:t xml:space="preserve"> фактичного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видатків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75"/>
            <w:bookmarkEnd w:id="2"/>
            <w:r w:rsidRPr="00ED774B">
              <w:rPr>
                <w:rFonts w:ascii="Times New Roman" w:eastAsia="Times New Roman" w:hAnsi="Times New Roman"/>
                <w:sz w:val="24"/>
                <w:szCs w:val="24"/>
                <w:lang w:val="ru-RU" w:eastAsia="ru-RU"/>
              </w:rPr>
              <w:t xml:space="preserve">2)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відбулося</w:t>
            </w:r>
            <w:proofErr w:type="spellEnd"/>
            <w:r w:rsidRPr="00ED774B">
              <w:rPr>
                <w:rFonts w:ascii="Times New Roman" w:eastAsia="Times New Roman" w:hAnsi="Times New Roman"/>
                <w:sz w:val="24"/>
                <w:szCs w:val="24"/>
                <w:lang w:val="ru-RU" w:eastAsia="ru-RU"/>
              </w:rPr>
              <w:t xml:space="preserve"> з моменту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останнього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внесення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w:t>
            </w:r>
            <w:proofErr w:type="spellEnd"/>
            <w:r w:rsidRPr="00ED774B">
              <w:rPr>
                <w:rFonts w:ascii="Times New Roman" w:eastAsia="Times New Roman" w:hAnsi="Times New Roman"/>
                <w:sz w:val="24"/>
                <w:szCs w:val="24"/>
                <w:lang w:val="ru-RU" w:eastAsia="ru-RU"/>
              </w:rPr>
              <w:t xml:space="preserve"> до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частині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Зміна</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здійснюється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не </w:t>
            </w:r>
            <w:proofErr w:type="spellStart"/>
            <w:r w:rsidRPr="00ED774B">
              <w:rPr>
                <w:rFonts w:ascii="Times New Roman" w:eastAsia="Times New Roman" w:hAnsi="Times New Roman"/>
                <w:sz w:val="24"/>
                <w:szCs w:val="24"/>
                <w:lang w:val="ru-RU" w:eastAsia="ru-RU"/>
              </w:rPr>
              <w:t>може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перевищувати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документального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ідтвердження</w:t>
            </w:r>
            <w:proofErr w:type="spellEnd"/>
            <w:r w:rsidRPr="00ED774B">
              <w:rPr>
                <w:rFonts w:ascii="Times New Roman" w:eastAsia="Times New Roman" w:hAnsi="Times New Roman"/>
                <w:sz w:val="24"/>
                <w:szCs w:val="24"/>
                <w:lang w:val="ru-RU" w:eastAsia="ru-RU"/>
              </w:rPr>
              <w:t xml:space="preserve"> такого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та не повинна </w:t>
            </w:r>
            <w:proofErr w:type="spellStart"/>
            <w:r w:rsidRPr="00ED774B">
              <w:rPr>
                <w:rFonts w:ascii="Times New Roman" w:eastAsia="Times New Roman" w:hAnsi="Times New Roman"/>
                <w:sz w:val="24"/>
                <w:szCs w:val="24"/>
                <w:lang w:val="ru-RU" w:eastAsia="ru-RU"/>
              </w:rPr>
              <w:t>призвести</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на момент </w:t>
            </w:r>
            <w:proofErr w:type="spellStart"/>
            <w:r w:rsidRPr="00ED774B">
              <w:rPr>
                <w:rFonts w:ascii="Times New Roman" w:eastAsia="Times New Roman" w:hAnsi="Times New Roman"/>
                <w:sz w:val="24"/>
                <w:szCs w:val="24"/>
                <w:lang w:val="ru-RU" w:eastAsia="ru-RU"/>
              </w:rPr>
              <w:t>його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76"/>
            <w:bookmarkEnd w:id="3"/>
            <w:r w:rsidRPr="00ED774B">
              <w:rPr>
                <w:rFonts w:ascii="Times New Roman" w:eastAsia="Times New Roman" w:hAnsi="Times New Roman"/>
                <w:sz w:val="24"/>
                <w:szCs w:val="24"/>
                <w:lang w:val="ru-RU" w:eastAsia="ru-RU"/>
              </w:rPr>
              <w:t xml:space="preserve">3)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предмета </w:t>
            </w:r>
            <w:proofErr w:type="spellStart"/>
            <w:r w:rsidRPr="00ED774B">
              <w:rPr>
                <w:rFonts w:ascii="Times New Roman" w:eastAsia="Times New Roman" w:hAnsi="Times New Roman"/>
                <w:sz w:val="24"/>
                <w:szCs w:val="24"/>
                <w:lang w:val="ru-RU" w:eastAsia="ru-RU"/>
              </w:rPr>
              <w:t>закупі</w:t>
            </w:r>
            <w:proofErr w:type="gramStart"/>
            <w:r w:rsidRPr="00ED774B">
              <w:rPr>
                <w:rFonts w:ascii="Times New Roman" w:eastAsia="Times New Roman" w:hAnsi="Times New Roman"/>
                <w:sz w:val="24"/>
                <w:szCs w:val="24"/>
                <w:lang w:val="ru-RU" w:eastAsia="ru-RU"/>
              </w:rPr>
              <w:t>вл</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призведе</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7"/>
            <w:bookmarkEnd w:id="4"/>
            <w:r w:rsidRPr="00ED774B">
              <w:rPr>
                <w:rFonts w:ascii="Times New Roman" w:eastAsia="Times New Roman" w:hAnsi="Times New Roman"/>
                <w:sz w:val="24"/>
                <w:szCs w:val="24"/>
                <w:lang w:val="ru-RU" w:eastAsia="ru-RU"/>
              </w:rPr>
              <w:t xml:space="preserve">4)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строку </w:t>
            </w:r>
            <w:proofErr w:type="spellStart"/>
            <w:r w:rsidRPr="00ED774B">
              <w:rPr>
                <w:rFonts w:ascii="Times New Roman" w:eastAsia="Times New Roman" w:hAnsi="Times New Roman"/>
                <w:sz w:val="24"/>
                <w:szCs w:val="24"/>
                <w:lang w:val="ru-RU" w:eastAsia="ru-RU"/>
              </w:rPr>
              <w:t>дії</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та строку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зобов’язань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передачі</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виникнення</w:t>
            </w:r>
            <w:proofErr w:type="spellEnd"/>
            <w:r w:rsidRPr="00ED774B">
              <w:rPr>
                <w:rFonts w:ascii="Times New Roman" w:eastAsia="Times New Roman" w:hAnsi="Times New Roman"/>
                <w:sz w:val="24"/>
                <w:szCs w:val="24"/>
                <w:lang w:val="ru-RU" w:eastAsia="ru-RU"/>
              </w:rPr>
              <w:t xml:space="preserve"> документально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об’єктивних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спричинили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у тому </w:t>
            </w:r>
            <w:proofErr w:type="spellStart"/>
            <w:r w:rsidRPr="00ED774B">
              <w:rPr>
                <w:rFonts w:ascii="Times New Roman" w:eastAsia="Times New Roman" w:hAnsi="Times New Roman"/>
                <w:sz w:val="24"/>
                <w:szCs w:val="24"/>
                <w:lang w:val="ru-RU" w:eastAsia="ru-RU"/>
              </w:rPr>
              <w:t>числі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непереборної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затримки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фінансування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витрат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призведуть</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8"/>
            <w:bookmarkEnd w:id="5"/>
            <w:r w:rsidRPr="00ED774B">
              <w:rPr>
                <w:rFonts w:ascii="Times New Roman" w:eastAsia="Times New Roman" w:hAnsi="Times New Roman"/>
                <w:sz w:val="24"/>
                <w:szCs w:val="24"/>
                <w:lang w:val="ru-RU" w:eastAsia="ru-RU"/>
              </w:rPr>
              <w:t xml:space="preserve">5)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бік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(без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кількості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та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товарів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lastRenderedPageBreak/>
              <w:t>послуг</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79"/>
            <w:bookmarkEnd w:id="6"/>
            <w:r w:rsidRPr="00ED774B">
              <w:rPr>
                <w:rFonts w:ascii="Times New Roman" w:eastAsia="Times New Roman" w:hAnsi="Times New Roman"/>
                <w:sz w:val="24"/>
                <w:szCs w:val="24"/>
                <w:lang w:val="ru-RU" w:eastAsia="ru-RU"/>
              </w:rPr>
              <w:t xml:space="preserve">6)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ставок </w:t>
            </w:r>
            <w:proofErr w:type="spellStart"/>
            <w:r w:rsidRPr="00ED774B">
              <w:rPr>
                <w:rFonts w:ascii="Times New Roman" w:eastAsia="Times New Roman" w:hAnsi="Times New Roman"/>
                <w:sz w:val="24"/>
                <w:szCs w:val="24"/>
                <w:lang w:val="ru-RU" w:eastAsia="ru-RU"/>
              </w:rPr>
              <w:t>податків</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зборів</w:t>
            </w:r>
            <w:proofErr w:type="spellEnd"/>
            <w:r w:rsidRPr="00ED774B">
              <w:rPr>
                <w:rFonts w:ascii="Times New Roman" w:eastAsia="Times New Roman" w:hAnsi="Times New Roman"/>
                <w:sz w:val="24"/>
                <w:szCs w:val="24"/>
                <w:lang w:val="ru-RU" w:eastAsia="ru-RU"/>
              </w:rPr>
              <w:t xml:space="preserve">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умов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таких ставок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а </w:t>
            </w:r>
            <w:proofErr w:type="spellStart"/>
            <w:r w:rsidRPr="00ED774B">
              <w:rPr>
                <w:rFonts w:ascii="Times New Roman" w:eastAsia="Times New Roman" w:hAnsi="Times New Roman"/>
                <w:sz w:val="24"/>
                <w:szCs w:val="24"/>
                <w:lang w:val="ru-RU" w:eastAsia="ru-RU"/>
              </w:rPr>
              <w:t>також</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податкового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навантаження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внаслідок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80"/>
            <w:bookmarkEnd w:id="7"/>
            <w:proofErr w:type="gramStart"/>
            <w:r w:rsidRPr="00ED774B">
              <w:rPr>
                <w:rFonts w:ascii="Times New Roman" w:eastAsia="Times New Roman" w:hAnsi="Times New Roman"/>
                <w:sz w:val="24"/>
                <w:szCs w:val="24"/>
                <w:lang w:val="ru-RU" w:eastAsia="ru-RU"/>
              </w:rPr>
              <w:t xml:space="preserve">7)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згідно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законодавством</w:t>
            </w:r>
            <w:proofErr w:type="spellEnd"/>
            <w:r w:rsidRPr="00ED774B">
              <w:rPr>
                <w:rFonts w:ascii="Times New Roman" w:eastAsia="Times New Roman" w:hAnsi="Times New Roman"/>
                <w:sz w:val="24"/>
                <w:szCs w:val="24"/>
                <w:lang w:val="ru-RU" w:eastAsia="ru-RU"/>
              </w:rPr>
              <w:t xml:space="preserve"> органами </w:t>
            </w:r>
            <w:proofErr w:type="spellStart"/>
            <w:r w:rsidRPr="00ED774B">
              <w:rPr>
                <w:rFonts w:ascii="Times New Roman" w:eastAsia="Times New Roman" w:hAnsi="Times New Roman"/>
                <w:sz w:val="24"/>
                <w:szCs w:val="24"/>
                <w:lang w:val="ru-RU" w:eastAsia="ru-RU"/>
              </w:rPr>
              <w:t>державної</w:t>
            </w:r>
            <w:proofErr w:type="spellEnd"/>
            <w:r w:rsidRPr="00ED774B">
              <w:rPr>
                <w:rFonts w:ascii="Times New Roman" w:eastAsia="Times New Roman" w:hAnsi="Times New Roman"/>
                <w:sz w:val="24"/>
                <w:szCs w:val="24"/>
                <w:lang w:val="ru-RU" w:eastAsia="ru-RU"/>
              </w:rPr>
              <w:t xml:space="preserve"> статистики </w:t>
            </w:r>
            <w:proofErr w:type="spellStart"/>
            <w:r w:rsidRPr="00ED774B">
              <w:rPr>
                <w:rFonts w:ascii="Times New Roman" w:eastAsia="Times New Roman" w:hAnsi="Times New Roman"/>
                <w:sz w:val="24"/>
                <w:szCs w:val="24"/>
                <w:lang w:val="ru-RU" w:eastAsia="ru-RU"/>
              </w:rPr>
              <w:t>індексу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споживчих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курсу </w:t>
            </w:r>
            <w:proofErr w:type="spellStart"/>
            <w:r w:rsidRPr="00ED774B">
              <w:rPr>
                <w:rFonts w:ascii="Times New Roman" w:eastAsia="Times New Roman" w:hAnsi="Times New Roman"/>
                <w:sz w:val="24"/>
                <w:szCs w:val="24"/>
                <w:lang w:val="ru-RU" w:eastAsia="ru-RU"/>
              </w:rPr>
              <w:t>іноземної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валюти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біржових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котирувань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показників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Platts</w:t>
            </w:r>
            <w:proofErr w:type="spellEnd"/>
            <w:r w:rsidRPr="00ED774B">
              <w:rPr>
                <w:rFonts w:ascii="Times New Roman" w:eastAsia="Times New Roman" w:hAnsi="Times New Roman"/>
                <w:sz w:val="24"/>
                <w:szCs w:val="24"/>
                <w:lang w:val="ru-RU" w:eastAsia="ru-RU"/>
              </w:rPr>
              <w:t xml:space="preserve">, ARGUS, </w:t>
            </w:r>
            <w:proofErr w:type="spellStart"/>
            <w:r w:rsidRPr="00ED774B">
              <w:rPr>
                <w:rFonts w:ascii="Times New Roman" w:eastAsia="Times New Roman" w:hAnsi="Times New Roman"/>
                <w:sz w:val="24"/>
                <w:szCs w:val="24"/>
                <w:lang w:val="ru-RU" w:eastAsia="ru-RU"/>
              </w:rPr>
              <w:t>регульованих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тарифів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нормативів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середньозважених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електроенергію</w:t>
            </w:r>
            <w:proofErr w:type="spellEnd"/>
            <w:r w:rsidRPr="00ED774B">
              <w:rPr>
                <w:rFonts w:ascii="Times New Roman" w:eastAsia="Times New Roman" w:hAnsi="Times New Roman"/>
                <w:sz w:val="24"/>
                <w:szCs w:val="24"/>
                <w:lang w:val="ru-RU" w:eastAsia="ru-RU"/>
              </w:rPr>
              <w:t xml:space="preserve"> на ринку “на </w:t>
            </w:r>
            <w:proofErr w:type="spellStart"/>
            <w:r w:rsidRPr="00ED774B">
              <w:rPr>
                <w:rFonts w:ascii="Times New Roman" w:eastAsia="Times New Roman" w:hAnsi="Times New Roman"/>
                <w:sz w:val="24"/>
                <w:szCs w:val="24"/>
                <w:lang w:val="ru-RU" w:eastAsia="ru-RU"/>
              </w:rPr>
              <w:t>добу</w:t>
            </w:r>
            <w:proofErr w:type="spellEnd"/>
            <w:r w:rsidRPr="00ED774B">
              <w:rPr>
                <w:rFonts w:ascii="Times New Roman" w:eastAsia="Times New Roman" w:hAnsi="Times New Roman"/>
                <w:sz w:val="24"/>
                <w:szCs w:val="24"/>
                <w:lang w:val="ru-RU" w:eastAsia="ru-RU"/>
              </w:rPr>
              <w:t xml:space="preserve"> наперед”,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застосовуються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встановлення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порядку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8" w:name="n81"/>
            <w:bookmarkEnd w:id="8"/>
            <w:r w:rsidRPr="00ED774B">
              <w:rPr>
                <w:rFonts w:ascii="Times New Roman" w:eastAsia="Times New Roman" w:hAnsi="Times New Roman"/>
                <w:sz w:val="24"/>
                <w:szCs w:val="24"/>
                <w:lang w:val="ru-RU" w:eastAsia="ru-RU"/>
              </w:rPr>
              <w:t xml:space="preserve">8)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умов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застосуванням</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положень</w:t>
            </w:r>
            <w:proofErr w:type="spellEnd"/>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fldChar w:fldCharType="begin"/>
            </w:r>
            <w:r w:rsidRPr="00ED774B">
              <w:rPr>
                <w:rFonts w:ascii="Times New Roman" w:eastAsia="Times New Roman" w:hAnsi="Times New Roman"/>
                <w:sz w:val="24"/>
                <w:szCs w:val="24"/>
                <w:lang w:val="ru-RU" w:eastAsia="ru-RU"/>
              </w:rPr>
              <w:instrText xml:space="preserve"> HYPERLINK "https://zakon.rada.gov.ua/laws/show/922-19" \l "n1778" \t "_blank" </w:instrText>
            </w:r>
            <w:r w:rsidRPr="00ED774B">
              <w:rPr>
                <w:rFonts w:ascii="Times New Roman" w:eastAsia="Times New Roman" w:hAnsi="Times New Roman"/>
                <w:sz w:val="24"/>
                <w:szCs w:val="24"/>
                <w:lang w:val="ru-RU" w:eastAsia="ru-RU"/>
              </w:rPr>
              <w:fldChar w:fldCharType="separate"/>
            </w:r>
            <w:r w:rsidRPr="00ED774B">
              <w:rPr>
                <w:rFonts w:ascii="Times New Roman" w:eastAsia="Times New Roman" w:hAnsi="Times New Roman"/>
                <w:sz w:val="24"/>
                <w:szCs w:val="24"/>
                <w:u w:val="single"/>
                <w:lang w:val="ru-RU" w:eastAsia="ru-RU"/>
              </w:rPr>
              <w:t>частини</w:t>
            </w:r>
            <w:proofErr w:type="spellEnd"/>
            <w:r w:rsidRPr="00ED774B">
              <w:rPr>
                <w:rFonts w:ascii="Times New Roman" w:eastAsia="Times New Roman" w:hAnsi="Times New Roman"/>
                <w:sz w:val="24"/>
                <w:szCs w:val="24"/>
                <w:u w:val="single"/>
                <w:lang w:val="ru-RU" w:eastAsia="ru-RU"/>
              </w:rPr>
              <w:t xml:space="preserve"> </w:t>
            </w:r>
            <w:proofErr w:type="spellStart"/>
            <w:r w:rsidRPr="00ED774B">
              <w:rPr>
                <w:rFonts w:ascii="Times New Roman" w:eastAsia="Times New Roman" w:hAnsi="Times New Roman"/>
                <w:sz w:val="24"/>
                <w:szCs w:val="24"/>
                <w:u w:val="single"/>
                <w:lang w:val="ru-RU" w:eastAsia="ru-RU"/>
              </w:rPr>
              <w:t>шостої</w:t>
            </w:r>
            <w:proofErr w:type="spellEnd"/>
            <w:r w:rsidRPr="00ED774B">
              <w:rPr>
                <w:rFonts w:ascii="Times New Roman" w:eastAsia="Times New Roman" w:hAnsi="Times New Roman"/>
                <w:sz w:val="24"/>
                <w:szCs w:val="24"/>
                <w:lang w:val="ru-RU" w:eastAsia="ru-RU"/>
              </w:rPr>
              <w:fldChar w:fldCharType="end"/>
            </w:r>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t>статті</w:t>
            </w:r>
            <w:proofErr w:type="spellEnd"/>
            <w:r w:rsidRPr="00ED774B">
              <w:rPr>
                <w:rFonts w:ascii="Times New Roman" w:eastAsia="Times New Roman" w:hAnsi="Times New Roman"/>
                <w:sz w:val="24"/>
                <w:szCs w:val="24"/>
                <w:lang w:val="ru-RU" w:eastAsia="ru-RU"/>
              </w:rPr>
              <w:t xml:space="preserve"> 41 Закону.</w:t>
            </w:r>
          </w:p>
          <w:p w:rsidR="00584251" w:rsidRPr="00ED774B" w:rsidRDefault="005842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ED774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84251" w:rsidRPr="00ED774B"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3E2922">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ED774B" w:rsidRDefault="00584251" w:rsidP="005E5451">
            <w:pPr>
              <w:pStyle w:val="rvps2"/>
              <w:shd w:val="clear" w:color="auto" w:fill="FFFFFF"/>
              <w:spacing w:after="0" w:afterAutospacing="0"/>
              <w:ind w:firstLine="319"/>
              <w:jc w:val="both"/>
              <w:textAlignment w:val="baseline"/>
              <w:rPr>
                <w:shd w:val="clear" w:color="auto" w:fill="FFFFFF"/>
                <w:lang w:val="uk-UA"/>
              </w:rPr>
            </w:pPr>
            <w:r w:rsidRPr="00ED774B">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74B">
              <w:rPr>
                <w:shd w:val="clear" w:color="auto" w:fill="FFFFFF"/>
                <w:lang w:val="uk-UA"/>
              </w:rPr>
              <w:t>неукладення</w:t>
            </w:r>
            <w:proofErr w:type="spellEnd"/>
            <w:r w:rsidRPr="00ED774B">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42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667C43" w:rsidRDefault="00584251" w:rsidP="005E5451">
            <w:pPr>
              <w:pStyle w:val="rvps2"/>
              <w:shd w:val="clear" w:color="auto" w:fill="FFFFFF"/>
              <w:spacing w:before="0" w:beforeAutospacing="0" w:after="0" w:afterAutospacing="0"/>
              <w:jc w:val="both"/>
              <w:textAlignment w:val="baseline"/>
              <w:rPr>
                <w:lang w:val="uk-UA"/>
              </w:rPr>
            </w:pPr>
            <w:r w:rsidRPr="00ED774B">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35" w:rsidRDefault="00557735" w:rsidP="00572165">
      <w:pPr>
        <w:spacing w:after="0" w:line="240" w:lineRule="auto"/>
      </w:pPr>
      <w:r>
        <w:separator/>
      </w:r>
    </w:p>
  </w:endnote>
  <w:endnote w:type="continuationSeparator" w:id="0">
    <w:p w:rsidR="00557735" w:rsidRDefault="00557735"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font29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35" w:rsidRDefault="00557735" w:rsidP="00572165">
      <w:pPr>
        <w:spacing w:after="0" w:line="240" w:lineRule="auto"/>
      </w:pPr>
      <w:r>
        <w:separator/>
      </w:r>
    </w:p>
  </w:footnote>
  <w:footnote w:type="continuationSeparator" w:id="0">
    <w:p w:rsidR="00557735" w:rsidRDefault="00557735"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B934B0" w:rsidRDefault="00B934B0">
        <w:pPr>
          <w:pStyle w:val="a9"/>
          <w:jc w:val="center"/>
        </w:pPr>
        <w:r>
          <w:fldChar w:fldCharType="begin"/>
        </w:r>
        <w:r>
          <w:instrText>PAGE   \* MERGEFORMAT</w:instrText>
        </w:r>
        <w:r>
          <w:fldChar w:fldCharType="separate"/>
        </w:r>
        <w:r w:rsidR="001E597A" w:rsidRPr="001E597A">
          <w:rPr>
            <w:noProof/>
            <w:lang w:val="ru-RU"/>
          </w:rPr>
          <w:t>2</w:t>
        </w:r>
        <w:r>
          <w:fldChar w:fldCharType="end"/>
        </w:r>
      </w:p>
    </w:sdtContent>
  </w:sdt>
  <w:p w:rsidR="00B934B0" w:rsidRDefault="00B934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597A"/>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42902"/>
    <w:rsid w:val="00542FC2"/>
    <w:rsid w:val="00555034"/>
    <w:rsid w:val="005568ED"/>
    <w:rsid w:val="00557735"/>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53F42"/>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ED774B"/>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84251"/>
    <w:pPr>
      <w:suppressAutoHyphens/>
      <w:spacing w:after="0" w:line="276" w:lineRule="auto"/>
    </w:pPr>
    <w:rPr>
      <w:rFonts w:ascii="Arial" w:eastAsia="Arial" w:hAnsi="Arial" w:cs="Arial"/>
      <w:color w:val="000000"/>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6900-6D65-411E-AD59-6DB5C6A1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7755</Words>
  <Characters>44208</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anykey</cp:lastModifiedBy>
  <cp:revision>11</cp:revision>
  <cp:lastPrinted>2021-10-25T12:42:00Z</cp:lastPrinted>
  <dcterms:created xsi:type="dcterms:W3CDTF">2022-10-24T09:52:00Z</dcterms:created>
  <dcterms:modified xsi:type="dcterms:W3CDTF">2023-01-05T09:20:00Z</dcterms:modified>
</cp:coreProperties>
</file>