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C4413E" w:rsidRPr="007D6036" w:rsidRDefault="00C4413E">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Зі змінами від 30.01.2023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386C57">
        <w:rPr>
          <w:rFonts w:ascii="Times New Roman" w:eastAsia="Times New Roman" w:hAnsi="Times New Roman" w:cs="Times New Roman"/>
          <w:b/>
          <w:color w:val="000000"/>
          <w:sz w:val="32"/>
          <w:szCs w:val="32"/>
        </w:rPr>
        <w:t xml:space="preserve"> </w:t>
      </w:r>
      <w:r w:rsidR="00FA0527" w:rsidRPr="00FA0527">
        <w:rPr>
          <w:rFonts w:ascii="Times New Roman" w:eastAsia="Times New Roman" w:hAnsi="Times New Roman" w:cs="Times New Roman"/>
          <w:b/>
          <w:color w:val="000000"/>
          <w:sz w:val="32"/>
          <w:szCs w:val="32"/>
        </w:rPr>
        <w:t>15870000-7 Заправки та приправи</w:t>
      </w:r>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p w:rsidR="00BD0607" w:rsidRDefault="00BD0607">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0" w:name="_gjdgxs" w:colFirst="0" w:colLast="0"/>
            <w:bookmarkEnd w:id="0"/>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xml:space="preserve">ДК 021-2015 (CPV) – </w:t>
            </w:r>
            <w:r w:rsidR="00FA0527" w:rsidRPr="00FA0527">
              <w:rPr>
                <w:rFonts w:ascii="Times New Roman" w:eastAsia="Times New Roman" w:hAnsi="Times New Roman" w:cs="Times New Roman"/>
                <w:b/>
                <w:sz w:val="24"/>
                <w:szCs w:val="24"/>
              </w:rPr>
              <w:t>15870000-7 Заправки та приправи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1" w:name="_30j0zll" w:colFirst="0" w:colLast="0"/>
            <w:bookmarkEnd w:id="1"/>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2" w:name="_1fob9te" w:colFirst="0" w:colLast="0"/>
            <w:bookmarkEnd w:id="2"/>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3znysh7" w:colFirst="0" w:colLast="0"/>
            <w:bookmarkEnd w:id="3"/>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4" w:name="_2et92p0" w:colFirst="0" w:colLast="0"/>
            <w:bookmarkEnd w:id="4"/>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5" w:name="_tyjcwt" w:colFirst="0" w:colLast="0"/>
            <w:bookmarkEnd w:id="5"/>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Сіль йодована</w:t>
                  </w:r>
                </w:p>
              </w:tc>
              <w:tc>
                <w:tcPr>
                  <w:tcW w:w="1016" w:type="dxa"/>
                  <w:shd w:val="clear" w:color="auto" w:fill="auto"/>
                  <w:vAlign w:val="center"/>
                </w:tcPr>
                <w:p w:rsidR="00FA0527" w:rsidRPr="00FA0527" w:rsidRDefault="00FA0527" w:rsidP="00FA0527">
                  <w:pPr>
                    <w:jc w:val="center"/>
                    <w:rPr>
                      <w:rFonts w:ascii="Times New Roman" w:hAnsi="Times New Roman" w:cs="Times New Roman"/>
                      <w:sz w:val="24"/>
                      <w:szCs w:val="24"/>
                    </w:rPr>
                  </w:pPr>
                  <w:r w:rsidRPr="00FA0527">
                    <w:rPr>
                      <w:rFonts w:ascii="Times New Roman" w:hAnsi="Times New Roman" w:cs="Times New Roman"/>
                      <w:sz w:val="24"/>
                      <w:szCs w:val="24"/>
                    </w:rPr>
                    <w:t>кг</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2338</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Лаврове листя</w:t>
                  </w:r>
                </w:p>
              </w:tc>
              <w:tc>
                <w:tcPr>
                  <w:tcW w:w="1016" w:type="dxa"/>
                  <w:shd w:val="clear" w:color="auto" w:fill="auto"/>
                </w:tcPr>
                <w:p w:rsidR="00FA0527" w:rsidRPr="00FA0527" w:rsidRDefault="00FA0527" w:rsidP="00FA0527">
                  <w:pPr>
                    <w:jc w:val="center"/>
                    <w:rPr>
                      <w:rFonts w:ascii="Times New Roman" w:hAnsi="Times New Roman" w:cs="Times New Roman"/>
                      <w:sz w:val="24"/>
                      <w:szCs w:val="24"/>
                    </w:rPr>
                  </w:pPr>
                  <w:r w:rsidRPr="00FA0527">
                    <w:rPr>
                      <w:rFonts w:ascii="Times New Roman" w:hAnsi="Times New Roman" w:cs="Times New Roman"/>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5</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Часник сушений</w:t>
                  </w:r>
                </w:p>
              </w:tc>
              <w:tc>
                <w:tcPr>
                  <w:tcW w:w="1016" w:type="dxa"/>
                  <w:shd w:val="clear" w:color="auto" w:fill="auto"/>
                </w:tcPr>
                <w:p w:rsidR="00FA0527" w:rsidRPr="00FA0527" w:rsidRDefault="00FA0527" w:rsidP="00FA0527">
                  <w:pPr>
                    <w:jc w:val="center"/>
                    <w:rPr>
                      <w:sz w:val="24"/>
                      <w:szCs w:val="24"/>
                    </w:rPr>
                  </w:pPr>
                  <w:r w:rsidRPr="00FA0527">
                    <w:rPr>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122</w:t>
                  </w:r>
                </w:p>
              </w:tc>
            </w:tr>
            <w:tr w:rsidR="00FA0527" w:rsidRPr="007D6036" w:rsidTr="00FA0527">
              <w:trPr>
                <w:jc w:val="center"/>
              </w:trPr>
              <w:tc>
                <w:tcPr>
                  <w:tcW w:w="468" w:type="dxa"/>
                  <w:shd w:val="clear" w:color="auto" w:fill="auto"/>
                  <w:vAlign w:val="center"/>
                </w:tcPr>
                <w:p w:rsidR="00FA0527" w:rsidRPr="00FA0527" w:rsidRDefault="00FA0527" w:rsidP="00FA0527">
                  <w:pPr>
                    <w:numPr>
                      <w:ilvl w:val="0"/>
                      <w:numId w:val="1"/>
                    </w:numPr>
                    <w:jc w:val="center"/>
                    <w:rPr>
                      <w:rFonts w:ascii="Times New Roman" w:eastAsia="Times New Roman" w:hAnsi="Times New Roman" w:cs="Times New Roman"/>
                      <w:sz w:val="24"/>
                      <w:szCs w:val="24"/>
                    </w:rPr>
                  </w:pPr>
                </w:p>
              </w:tc>
              <w:tc>
                <w:tcPr>
                  <w:tcW w:w="3788"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Сода харчова</w:t>
                  </w:r>
                </w:p>
              </w:tc>
              <w:tc>
                <w:tcPr>
                  <w:tcW w:w="1016" w:type="dxa"/>
                  <w:shd w:val="clear" w:color="auto" w:fill="auto"/>
                </w:tcPr>
                <w:p w:rsidR="00FA0527" w:rsidRPr="00FA0527" w:rsidRDefault="00FA0527" w:rsidP="00FA0527">
                  <w:pPr>
                    <w:jc w:val="center"/>
                    <w:rPr>
                      <w:sz w:val="24"/>
                      <w:szCs w:val="24"/>
                    </w:rPr>
                  </w:pPr>
                  <w:r w:rsidRPr="00FA0527">
                    <w:rPr>
                      <w:sz w:val="24"/>
                      <w:szCs w:val="24"/>
                    </w:rPr>
                    <w:t>кг</w:t>
                  </w:r>
                </w:p>
              </w:tc>
              <w:tc>
                <w:tcPr>
                  <w:tcW w:w="1946" w:type="dxa"/>
                  <w:tcBorders>
                    <w:top w:val="nil"/>
                    <w:left w:val="single" w:sz="4" w:space="0" w:color="auto"/>
                    <w:bottom w:val="single" w:sz="4" w:space="0" w:color="auto"/>
                    <w:right w:val="single" w:sz="4" w:space="0" w:color="auto"/>
                  </w:tcBorders>
                  <w:shd w:val="clear" w:color="auto" w:fill="auto"/>
                  <w:vAlign w:val="bottom"/>
                </w:tcPr>
                <w:p w:rsidR="00FA0527" w:rsidRPr="00FA0527" w:rsidRDefault="00FA0527" w:rsidP="00FA0527">
                  <w:pPr>
                    <w:jc w:val="center"/>
                    <w:rPr>
                      <w:rFonts w:ascii="Times New Roman" w:hAnsi="Times New Roman" w:cs="Times New Roman"/>
                      <w:color w:val="000000"/>
                      <w:sz w:val="24"/>
                      <w:szCs w:val="24"/>
                    </w:rPr>
                  </w:pPr>
                  <w:r w:rsidRPr="00FA0527">
                    <w:rPr>
                      <w:rFonts w:ascii="Times New Roman" w:hAnsi="Times New Roman" w:cs="Times New Roman"/>
                      <w:color w:val="000000"/>
                      <w:sz w:val="24"/>
                      <w:szCs w:val="24"/>
                    </w:rPr>
                    <w:t>204</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6" w:name="_3dy6vkm" w:colFirst="0" w:colLast="0"/>
            <w:bookmarkEnd w:id="6"/>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w:t>
            </w:r>
            <w:r w:rsidRPr="007D6036">
              <w:rPr>
                <w:rFonts w:ascii="Times New Roman" w:eastAsia="Times New Roman" w:hAnsi="Times New Roman" w:cs="Times New Roman"/>
                <w:b/>
                <w:sz w:val="24"/>
                <w:szCs w:val="24"/>
              </w:rPr>
              <w:lastRenderedPageBreak/>
              <w:t>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C4413E" w:rsidRPr="00C4413E" w:rsidRDefault="00C4413E" w:rsidP="00C4413E">
            <w:pPr>
              <w:widowControl w:val="0"/>
              <w:ind w:left="137" w:right="218"/>
              <w:jc w:val="both"/>
              <w:rPr>
                <w:rFonts w:ascii="Times New Roman" w:eastAsia="Times New Roman" w:hAnsi="Times New Roman" w:cs="Times New Roman"/>
                <w:color w:val="000000"/>
                <w:sz w:val="24"/>
                <w:szCs w:val="24"/>
              </w:rPr>
            </w:pPr>
            <w:r w:rsidRPr="00C4413E">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C4413E" w:rsidRPr="00C4413E" w:rsidRDefault="00C4413E" w:rsidP="00C4413E">
            <w:pPr>
              <w:widowControl w:val="0"/>
              <w:ind w:left="137" w:right="218"/>
              <w:jc w:val="both"/>
              <w:rPr>
                <w:rFonts w:ascii="Times New Roman" w:eastAsia="Times New Roman" w:hAnsi="Times New Roman" w:cs="Times New Roman"/>
                <w:color w:val="000000"/>
                <w:sz w:val="24"/>
                <w:szCs w:val="24"/>
              </w:rPr>
            </w:pPr>
            <w:r w:rsidRPr="00C4413E">
              <w:rPr>
                <w:rFonts w:ascii="Times New Roman" w:eastAsia="Times New Roman" w:hAnsi="Times New Roman" w:cs="Times New Roman"/>
                <w:color w:val="000000"/>
                <w:sz w:val="24"/>
                <w:szCs w:val="24"/>
              </w:rPr>
              <w:t>Учасник у складі тендерної пропозиції повинен надати:</w:t>
            </w:r>
          </w:p>
          <w:p w:rsidR="00C4413E" w:rsidRPr="00C4413E" w:rsidRDefault="00C4413E" w:rsidP="00C4413E">
            <w:pPr>
              <w:widowControl w:val="0"/>
              <w:ind w:left="137" w:right="218"/>
              <w:jc w:val="both"/>
              <w:rPr>
                <w:rFonts w:ascii="Times New Roman" w:eastAsia="Times New Roman" w:hAnsi="Times New Roman" w:cs="Times New Roman"/>
                <w:color w:val="000000"/>
                <w:sz w:val="24"/>
                <w:szCs w:val="24"/>
              </w:rPr>
            </w:pPr>
            <w:r w:rsidRPr="00C4413E">
              <w:rPr>
                <w:rFonts w:ascii="Times New Roman" w:eastAsia="Times New Roman" w:hAnsi="Times New Roman" w:cs="Times New Roman"/>
                <w:color w:val="000000"/>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rsidR="00C4413E" w:rsidRPr="00C4413E" w:rsidRDefault="00C4413E" w:rsidP="00C4413E">
            <w:pPr>
              <w:widowControl w:val="0"/>
              <w:ind w:left="137" w:right="218"/>
              <w:jc w:val="both"/>
              <w:rPr>
                <w:rFonts w:ascii="Times New Roman" w:eastAsia="Times New Roman" w:hAnsi="Times New Roman" w:cs="Times New Roman"/>
                <w:color w:val="000000"/>
                <w:sz w:val="24"/>
                <w:szCs w:val="24"/>
              </w:rPr>
            </w:pPr>
            <w:r w:rsidRPr="00C4413E">
              <w:rPr>
                <w:rFonts w:ascii="Times New Roman" w:eastAsia="Times New Roman" w:hAnsi="Times New Roman" w:cs="Times New Roman"/>
                <w:color w:val="000000"/>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7E73BB" w:rsidRPr="00BA2EF2" w:rsidRDefault="00C4413E" w:rsidP="00C4413E">
            <w:pPr>
              <w:widowControl w:val="0"/>
              <w:ind w:left="137" w:right="218"/>
              <w:jc w:val="both"/>
              <w:rPr>
                <w:rFonts w:ascii="Times New Roman" w:eastAsia="Times New Roman" w:hAnsi="Times New Roman" w:cs="Times New Roman"/>
                <w:sz w:val="24"/>
                <w:szCs w:val="24"/>
              </w:rPr>
            </w:pPr>
            <w:r w:rsidRPr="00C4413E">
              <w:rPr>
                <w:rFonts w:ascii="Times New Roman" w:eastAsia="Times New Roman" w:hAnsi="Times New Roman" w:cs="Times New Roman"/>
                <w:color w:val="000000"/>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bookmarkStart w:id="7" w:name="_GoBack"/>
            <w:bookmarkEnd w:id="7"/>
            <w:r w:rsidR="007E73BB" w:rsidRPr="00BA2EF2">
              <w:rPr>
                <w:rFonts w:ascii="Times New Roman" w:eastAsia="Times New Roman" w:hAnsi="Times New Roman" w:cs="Times New Roman"/>
                <w:sz w:val="24"/>
                <w:szCs w:val="24"/>
              </w:rPr>
              <w:t>.</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8" w:name="_1t3h5sf" w:colFirst="0" w:colLast="0"/>
            <w:bookmarkEnd w:id="8"/>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9" w:name="_4d34og8" w:colFirst="0" w:colLast="0"/>
            <w:bookmarkEnd w:id="9"/>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0" w:name="_2s8eyo1" w:colFirst="0" w:colLast="0"/>
            <w:bookmarkEnd w:id="10"/>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7D6036">
              <w:rPr>
                <w:rFonts w:ascii="Times New Roman" w:eastAsia="Times New Roman" w:hAnsi="Times New Roman" w:cs="Times New Roman"/>
                <w:color w:val="000000"/>
                <w:sz w:val="24"/>
                <w:szCs w:val="24"/>
              </w:rPr>
              <w:lastRenderedPageBreak/>
              <w:t>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7D6036">
              <w:rPr>
                <w:rFonts w:ascii="Times New Roman" w:eastAsia="Times New Roman" w:hAnsi="Times New Roman" w:cs="Times New Roman"/>
                <w:color w:val="000000"/>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w:t>
            </w:r>
            <w:r w:rsidRPr="007D6036">
              <w:rPr>
                <w:rFonts w:ascii="Times New Roman" w:eastAsia="Times New Roman" w:hAnsi="Times New Roman" w:cs="Times New Roman"/>
                <w:b w:val="0"/>
              </w:rPr>
              <w:lastRenderedPageBreak/>
              <w:t>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7D6036">
              <w:rPr>
                <w:rFonts w:ascii="Times New Roman" w:eastAsia="Times New Roman" w:hAnsi="Times New Roman" w:cs="Times New Roman"/>
                <w:b w:val="0"/>
              </w:rPr>
              <w:lastRenderedPageBreak/>
              <w:t>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17dp8vu" w:colFirst="0" w:colLast="0"/>
            <w:bookmarkEnd w:id="11"/>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w:t>
            </w:r>
            <w:r w:rsidRPr="007D6036">
              <w:rPr>
                <w:rFonts w:ascii="Times New Roman" w:eastAsia="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цього Закону, </w:t>
            </w:r>
            <w:r w:rsidRPr="007D6036">
              <w:rPr>
                <w:rFonts w:ascii="Times New Roman" w:eastAsia="Times New Roman" w:hAnsi="Times New Roman" w:cs="Times New Roman"/>
                <w:sz w:val="24"/>
                <w:szCs w:val="24"/>
              </w:rPr>
              <w:lastRenderedPageBreak/>
              <w:t>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2" w:name="_3rdcrjn" w:colFirst="0" w:colLast="0"/>
            <w:bookmarkEnd w:id="12"/>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w:t>
            </w:r>
            <w:r w:rsidRPr="007D6036">
              <w:rPr>
                <w:rFonts w:ascii="Times New Roman" w:eastAsia="Times New Roman" w:hAnsi="Times New Roman" w:cs="Times New Roman"/>
                <w:sz w:val="24"/>
                <w:szCs w:val="24"/>
              </w:rPr>
              <w:lastRenderedPageBreak/>
              <w:t>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w:t>
            </w:r>
            <w:r w:rsidRPr="007D6036">
              <w:rPr>
                <w:rFonts w:ascii="Times New Roman" w:eastAsia="Times New Roman" w:hAnsi="Times New Roman" w:cs="Times New Roman"/>
                <w:sz w:val="24"/>
                <w:szCs w:val="24"/>
              </w:rPr>
              <w:lastRenderedPageBreak/>
              <w:t>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D6036">
              <w:rPr>
                <w:rFonts w:ascii="Times New Roman" w:eastAsia="Times New Roman" w:hAnsi="Times New Roman" w:cs="Times New Roman"/>
                <w:sz w:val="24"/>
                <w:szCs w:val="24"/>
              </w:rPr>
              <w:lastRenderedPageBreak/>
              <w:t>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3" w:name="_26in1rg" w:colFirst="0" w:colLast="0"/>
      <w:bookmarkEnd w:id="13"/>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4" w:name="_lnxbz9" w:colFirst="0" w:colLast="0"/>
      <w:bookmarkEnd w:id="14"/>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E0" w:rsidRDefault="00233AE0">
      <w:r>
        <w:separator/>
      </w:r>
    </w:p>
  </w:endnote>
  <w:endnote w:type="continuationSeparator" w:id="0">
    <w:p w:rsidR="00233AE0" w:rsidRDefault="0023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33AE0" w:rsidRDefault="00233AE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233AE0" w:rsidRDefault="00233AE0">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E0" w:rsidRDefault="00233AE0">
      <w:r>
        <w:separator/>
      </w:r>
    </w:p>
  </w:footnote>
  <w:footnote w:type="continuationSeparator" w:id="0">
    <w:p w:rsidR="00233AE0" w:rsidRDefault="0023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233AE0" w:rsidRDefault="00233AE0">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E0" w:rsidRDefault="00233AE0">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645C8"/>
    <w:rsid w:val="001E509B"/>
    <w:rsid w:val="00233AE0"/>
    <w:rsid w:val="0025143D"/>
    <w:rsid w:val="002736B1"/>
    <w:rsid w:val="002951B6"/>
    <w:rsid w:val="00386C57"/>
    <w:rsid w:val="003B3E4A"/>
    <w:rsid w:val="004B17EB"/>
    <w:rsid w:val="004C3B4E"/>
    <w:rsid w:val="004E628C"/>
    <w:rsid w:val="00533F79"/>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C4413E"/>
    <w:rsid w:val="00C8263B"/>
    <w:rsid w:val="00D83A2D"/>
    <w:rsid w:val="00F17968"/>
    <w:rsid w:val="00FA0527"/>
    <w:rsid w:val="00FB4D2B"/>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70CF"/>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19448</Words>
  <Characters>110858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2023-01-27T13:45:00Z</dcterms:created>
  <dcterms:modified xsi:type="dcterms:W3CDTF">2023-01-30T14:46:00Z</dcterms:modified>
</cp:coreProperties>
</file>