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A71DB5" w:rsidRPr="00A71DB5" w:rsidTr="00A71DB5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DB5" w:rsidRPr="00A71DB5" w:rsidRDefault="00A71DB5" w:rsidP="00A71DB5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1D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F230144" wp14:editId="0CF47196">
                  <wp:extent cx="573405" cy="76454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DB5" w:rsidRPr="00A71DB5" w:rsidTr="00A71DB5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DB5" w:rsidRPr="00A71DB5" w:rsidRDefault="00A71DB5" w:rsidP="00A71DB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АДМ</w:t>
            </w:r>
            <w:proofErr w:type="gramEnd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ІНІСТРАЦІЯ ДЕРЖАВНОЇ СЛУЖБИ СПЕЦІАЛЬНОГО ЗВ’ЯЗКУ ТА ЗАХИСТУ ІНФОРМАЦІЇ УКРАЇНИ</w:t>
            </w:r>
          </w:p>
        </w:tc>
      </w:tr>
      <w:tr w:rsidR="00A71DB5" w:rsidRPr="00A71DB5" w:rsidTr="00A71DB5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DB5" w:rsidRPr="00A71DB5" w:rsidRDefault="00A71DB5" w:rsidP="00A71DB5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НАКАЗ</w:t>
            </w:r>
          </w:p>
        </w:tc>
      </w:tr>
      <w:tr w:rsidR="00A71DB5" w:rsidRPr="00A71DB5" w:rsidTr="00A71DB5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18.06.2013  № 324</w:t>
            </w:r>
          </w:p>
        </w:tc>
      </w:tr>
      <w:tr w:rsidR="00A71DB5" w:rsidRPr="00A71DB5" w:rsidTr="00A71DB5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n3"/>
            <w:bookmarkEnd w:id="0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Зареєстровано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Міністерстві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юстиції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9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липня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2013 р.</w:t>
            </w: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 № 1139/23671</w:t>
            </w:r>
          </w:p>
        </w:tc>
      </w:tr>
    </w:tbl>
    <w:p w:rsidR="00A71DB5" w:rsidRPr="00A71DB5" w:rsidRDefault="00A71DB5" w:rsidP="00A71DB5">
      <w:pPr>
        <w:shd w:val="clear" w:color="auto" w:fill="FFFFFF"/>
        <w:spacing w:before="300" w:after="4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1" w:name="n4"/>
      <w:bookmarkEnd w:id="1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Про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затвердження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Порядку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передачі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викликів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екстреної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медичної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допомоги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за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єдиним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телефонним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номером 103 в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телекомунікаційній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мережі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загального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користування</w:t>
      </w:r>
      <w:proofErr w:type="spellEnd"/>
    </w:p>
    <w:p w:rsidR="00A71DB5" w:rsidRPr="00A71DB5" w:rsidRDefault="00A71DB5" w:rsidP="00A71D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2" w:name="n5"/>
      <w:bookmarkEnd w:id="2"/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Відповідно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до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частини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першої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статті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15 </w:t>
      </w:r>
      <w:hyperlink r:id="rId7" w:tgtFrame="_blank" w:history="1"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 xml:space="preserve">Закону </w:t>
        </w:r>
        <w:proofErr w:type="spellStart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>України</w:t>
        </w:r>
        <w:proofErr w:type="spellEnd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 xml:space="preserve"> "Про </w:t>
        </w:r>
        <w:proofErr w:type="spellStart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>телекомунікації</w:t>
        </w:r>
        <w:proofErr w:type="spellEnd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>"</w:t>
        </w:r>
      </w:hyperlink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, 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fldChar w:fldCharType="begin"/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instrText xml:space="preserve"> HYPERLINK "https://zakon.rada.gov.ua/laws/show/5081-17" \l "n40" \t "_blank" </w:instrText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fldChar w:fldCharType="separate"/>
      </w:r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частини</w:t>
      </w:r>
      <w:proofErr w:type="spell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четвертої</w:t>
      </w:r>
      <w:proofErr w:type="spell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статті</w:t>
      </w:r>
      <w:proofErr w:type="spell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 xml:space="preserve"> 4 Закону </w:t>
      </w:r>
      <w:proofErr w:type="spellStart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України</w:t>
      </w:r>
      <w:proofErr w:type="spell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 xml:space="preserve"> "Про </w:t>
      </w:r>
      <w:proofErr w:type="spellStart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екстрену</w:t>
      </w:r>
      <w:proofErr w:type="spell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медичну</w:t>
      </w:r>
      <w:proofErr w:type="spell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допомогу</w:t>
      </w:r>
      <w:proofErr w:type="spell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"</w:t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fldChar w:fldCharType="end"/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, 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fldChar w:fldCharType="begin"/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instrText xml:space="preserve"> HYPERLINK "https://zakon.rada.gov.ua/laws/show/717/2011" \l "n17" \t "_blank" </w:instrText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fldChar w:fldCharType="separate"/>
      </w:r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Положення</w:t>
      </w:r>
      <w:proofErr w:type="spell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 xml:space="preserve"> про </w:t>
      </w:r>
      <w:proofErr w:type="spellStart"/>
      <w:proofErr w:type="gramStart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Адм</w:t>
      </w:r>
      <w:proofErr w:type="gram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іністрацію</w:t>
      </w:r>
      <w:proofErr w:type="spell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Державної</w:t>
      </w:r>
      <w:proofErr w:type="spell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служби</w:t>
      </w:r>
      <w:proofErr w:type="spell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спеціального</w:t>
      </w:r>
      <w:proofErr w:type="spell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зв’язку</w:t>
      </w:r>
      <w:proofErr w:type="spell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 xml:space="preserve"> та </w:t>
      </w:r>
      <w:proofErr w:type="spellStart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захисту</w:t>
      </w:r>
      <w:proofErr w:type="spell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інформації</w:t>
      </w:r>
      <w:proofErr w:type="spell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України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fldChar w:fldCharType="end"/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затвердженого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Указом Президента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України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від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30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червня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2011 року № 717, 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fldChar w:fldCharType="begin"/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instrText xml:space="preserve"> HYPERLINK "https://zakon.rada.gov.ua/laws/show/978-2012-%D1%80" \t "_blank" </w:instrText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fldChar w:fldCharType="separate"/>
      </w:r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розпорядження</w:t>
      </w:r>
      <w:proofErr w:type="spell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Кабінету</w:t>
      </w:r>
      <w:proofErr w:type="spell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Міністрів</w:t>
      </w:r>
      <w:proofErr w:type="spell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України</w:t>
      </w:r>
      <w:proofErr w:type="spell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від</w:t>
      </w:r>
      <w:proofErr w:type="spell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 xml:space="preserve"> 21 листопада 2012 року № 978-р</w:t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fldChar w:fldCharType="end"/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 "Про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забезпечення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системи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екстреної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медичної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допомоги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телекомунікаційним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ресурсом", з метою нормативного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врегулювання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питань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щодо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організації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передачі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викликів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екстреної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медичної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допомоги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за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єдиним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телефонним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номером 103 </w:t>
      </w:r>
      <w:r w:rsidRPr="00A71DB5">
        <w:rPr>
          <w:rFonts w:ascii="Times New Roman" w:eastAsia="Times New Roman" w:hAnsi="Times New Roman" w:cs="Times New Roman"/>
          <w:b/>
          <w:bCs/>
          <w:color w:val="333333"/>
          <w:spacing w:val="30"/>
          <w:sz w:val="20"/>
          <w:szCs w:val="20"/>
          <w:lang w:val="ru-RU" w:eastAsia="ru-RU"/>
        </w:rPr>
        <w:t>НАКАЗУЮ:</w:t>
      </w:r>
    </w:p>
    <w:p w:rsidR="00A71DB5" w:rsidRPr="00A71DB5" w:rsidRDefault="00A71DB5" w:rsidP="00A71D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3" w:name="n6"/>
      <w:bookmarkEnd w:id="3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1.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Затвердити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 </w:t>
      </w:r>
      <w:hyperlink r:id="rId8" w:anchor="n13" w:history="1">
        <w:r w:rsidRPr="00A71DB5">
          <w:rPr>
            <w:rFonts w:ascii="Times New Roman" w:eastAsia="Times New Roman" w:hAnsi="Times New Roman" w:cs="Times New Roman"/>
            <w:color w:val="006600"/>
            <w:sz w:val="20"/>
            <w:szCs w:val="20"/>
            <w:u w:val="single"/>
            <w:lang w:val="ru-RU" w:eastAsia="ru-RU"/>
          </w:rPr>
          <w:t xml:space="preserve">Порядок </w:t>
        </w:r>
        <w:proofErr w:type="spellStart"/>
        <w:r w:rsidRPr="00A71DB5">
          <w:rPr>
            <w:rFonts w:ascii="Times New Roman" w:eastAsia="Times New Roman" w:hAnsi="Times New Roman" w:cs="Times New Roman"/>
            <w:color w:val="006600"/>
            <w:sz w:val="20"/>
            <w:szCs w:val="20"/>
            <w:u w:val="single"/>
            <w:lang w:val="ru-RU" w:eastAsia="ru-RU"/>
          </w:rPr>
          <w:t>передачі</w:t>
        </w:r>
        <w:proofErr w:type="spellEnd"/>
        <w:r w:rsidRPr="00A71DB5">
          <w:rPr>
            <w:rFonts w:ascii="Times New Roman" w:eastAsia="Times New Roman" w:hAnsi="Times New Roman" w:cs="Times New Roman"/>
            <w:color w:val="006600"/>
            <w:sz w:val="20"/>
            <w:szCs w:val="20"/>
            <w:u w:val="single"/>
            <w:lang w:val="ru-RU" w:eastAsia="ru-RU"/>
          </w:rPr>
          <w:t xml:space="preserve"> </w:t>
        </w:r>
        <w:proofErr w:type="spellStart"/>
        <w:r w:rsidRPr="00A71DB5">
          <w:rPr>
            <w:rFonts w:ascii="Times New Roman" w:eastAsia="Times New Roman" w:hAnsi="Times New Roman" w:cs="Times New Roman"/>
            <w:color w:val="006600"/>
            <w:sz w:val="20"/>
            <w:szCs w:val="20"/>
            <w:u w:val="single"/>
            <w:lang w:val="ru-RU" w:eastAsia="ru-RU"/>
          </w:rPr>
          <w:t>викликів</w:t>
        </w:r>
        <w:proofErr w:type="spellEnd"/>
        <w:r w:rsidRPr="00A71DB5">
          <w:rPr>
            <w:rFonts w:ascii="Times New Roman" w:eastAsia="Times New Roman" w:hAnsi="Times New Roman" w:cs="Times New Roman"/>
            <w:color w:val="006600"/>
            <w:sz w:val="20"/>
            <w:szCs w:val="20"/>
            <w:u w:val="single"/>
            <w:lang w:val="ru-RU" w:eastAsia="ru-RU"/>
          </w:rPr>
          <w:t xml:space="preserve"> </w:t>
        </w:r>
        <w:proofErr w:type="spellStart"/>
        <w:r w:rsidRPr="00A71DB5">
          <w:rPr>
            <w:rFonts w:ascii="Times New Roman" w:eastAsia="Times New Roman" w:hAnsi="Times New Roman" w:cs="Times New Roman"/>
            <w:color w:val="006600"/>
            <w:sz w:val="20"/>
            <w:szCs w:val="20"/>
            <w:u w:val="single"/>
            <w:lang w:val="ru-RU" w:eastAsia="ru-RU"/>
          </w:rPr>
          <w:t>екстреної</w:t>
        </w:r>
        <w:proofErr w:type="spellEnd"/>
        <w:r w:rsidRPr="00A71DB5">
          <w:rPr>
            <w:rFonts w:ascii="Times New Roman" w:eastAsia="Times New Roman" w:hAnsi="Times New Roman" w:cs="Times New Roman"/>
            <w:color w:val="006600"/>
            <w:sz w:val="20"/>
            <w:szCs w:val="20"/>
            <w:u w:val="single"/>
            <w:lang w:val="ru-RU" w:eastAsia="ru-RU"/>
          </w:rPr>
          <w:t xml:space="preserve"> </w:t>
        </w:r>
        <w:proofErr w:type="spellStart"/>
        <w:r w:rsidRPr="00A71DB5">
          <w:rPr>
            <w:rFonts w:ascii="Times New Roman" w:eastAsia="Times New Roman" w:hAnsi="Times New Roman" w:cs="Times New Roman"/>
            <w:color w:val="006600"/>
            <w:sz w:val="20"/>
            <w:szCs w:val="20"/>
            <w:u w:val="single"/>
            <w:lang w:val="ru-RU" w:eastAsia="ru-RU"/>
          </w:rPr>
          <w:t>медичної</w:t>
        </w:r>
        <w:proofErr w:type="spellEnd"/>
        <w:r w:rsidRPr="00A71DB5">
          <w:rPr>
            <w:rFonts w:ascii="Times New Roman" w:eastAsia="Times New Roman" w:hAnsi="Times New Roman" w:cs="Times New Roman"/>
            <w:color w:val="006600"/>
            <w:sz w:val="20"/>
            <w:szCs w:val="20"/>
            <w:u w:val="single"/>
            <w:lang w:val="ru-RU" w:eastAsia="ru-RU"/>
          </w:rPr>
          <w:t xml:space="preserve"> </w:t>
        </w:r>
        <w:proofErr w:type="spellStart"/>
        <w:r w:rsidRPr="00A71DB5">
          <w:rPr>
            <w:rFonts w:ascii="Times New Roman" w:eastAsia="Times New Roman" w:hAnsi="Times New Roman" w:cs="Times New Roman"/>
            <w:color w:val="006600"/>
            <w:sz w:val="20"/>
            <w:szCs w:val="20"/>
            <w:u w:val="single"/>
            <w:lang w:val="ru-RU" w:eastAsia="ru-RU"/>
          </w:rPr>
          <w:t>допомоги</w:t>
        </w:r>
        <w:proofErr w:type="spellEnd"/>
        <w:r w:rsidRPr="00A71DB5">
          <w:rPr>
            <w:rFonts w:ascii="Times New Roman" w:eastAsia="Times New Roman" w:hAnsi="Times New Roman" w:cs="Times New Roman"/>
            <w:color w:val="006600"/>
            <w:sz w:val="20"/>
            <w:szCs w:val="20"/>
            <w:u w:val="single"/>
            <w:lang w:val="ru-RU" w:eastAsia="ru-RU"/>
          </w:rPr>
          <w:t xml:space="preserve"> за </w:t>
        </w:r>
        <w:proofErr w:type="spellStart"/>
        <w:r w:rsidRPr="00A71DB5">
          <w:rPr>
            <w:rFonts w:ascii="Times New Roman" w:eastAsia="Times New Roman" w:hAnsi="Times New Roman" w:cs="Times New Roman"/>
            <w:color w:val="006600"/>
            <w:sz w:val="20"/>
            <w:szCs w:val="20"/>
            <w:u w:val="single"/>
            <w:lang w:val="ru-RU" w:eastAsia="ru-RU"/>
          </w:rPr>
          <w:t>єдиним</w:t>
        </w:r>
        <w:proofErr w:type="spellEnd"/>
        <w:r w:rsidRPr="00A71DB5">
          <w:rPr>
            <w:rFonts w:ascii="Times New Roman" w:eastAsia="Times New Roman" w:hAnsi="Times New Roman" w:cs="Times New Roman"/>
            <w:color w:val="006600"/>
            <w:sz w:val="20"/>
            <w:szCs w:val="20"/>
            <w:u w:val="single"/>
            <w:lang w:val="ru-RU" w:eastAsia="ru-RU"/>
          </w:rPr>
          <w:t xml:space="preserve"> </w:t>
        </w:r>
        <w:proofErr w:type="spellStart"/>
        <w:r w:rsidRPr="00A71DB5">
          <w:rPr>
            <w:rFonts w:ascii="Times New Roman" w:eastAsia="Times New Roman" w:hAnsi="Times New Roman" w:cs="Times New Roman"/>
            <w:color w:val="006600"/>
            <w:sz w:val="20"/>
            <w:szCs w:val="20"/>
            <w:u w:val="single"/>
            <w:lang w:val="ru-RU" w:eastAsia="ru-RU"/>
          </w:rPr>
          <w:t>телефонним</w:t>
        </w:r>
        <w:proofErr w:type="spellEnd"/>
        <w:r w:rsidRPr="00A71DB5">
          <w:rPr>
            <w:rFonts w:ascii="Times New Roman" w:eastAsia="Times New Roman" w:hAnsi="Times New Roman" w:cs="Times New Roman"/>
            <w:color w:val="006600"/>
            <w:sz w:val="20"/>
            <w:szCs w:val="20"/>
            <w:u w:val="single"/>
            <w:lang w:val="ru-RU" w:eastAsia="ru-RU"/>
          </w:rPr>
          <w:t xml:space="preserve"> номером 103 в </w:t>
        </w:r>
        <w:proofErr w:type="spellStart"/>
        <w:r w:rsidRPr="00A71DB5">
          <w:rPr>
            <w:rFonts w:ascii="Times New Roman" w:eastAsia="Times New Roman" w:hAnsi="Times New Roman" w:cs="Times New Roman"/>
            <w:color w:val="006600"/>
            <w:sz w:val="20"/>
            <w:szCs w:val="20"/>
            <w:u w:val="single"/>
            <w:lang w:val="ru-RU" w:eastAsia="ru-RU"/>
          </w:rPr>
          <w:t>телекомунікаційній</w:t>
        </w:r>
        <w:proofErr w:type="spellEnd"/>
        <w:r w:rsidRPr="00A71DB5">
          <w:rPr>
            <w:rFonts w:ascii="Times New Roman" w:eastAsia="Times New Roman" w:hAnsi="Times New Roman" w:cs="Times New Roman"/>
            <w:color w:val="006600"/>
            <w:sz w:val="20"/>
            <w:szCs w:val="20"/>
            <w:u w:val="single"/>
            <w:lang w:val="ru-RU" w:eastAsia="ru-RU"/>
          </w:rPr>
          <w:t xml:space="preserve"> </w:t>
        </w:r>
        <w:proofErr w:type="spellStart"/>
        <w:r w:rsidRPr="00A71DB5">
          <w:rPr>
            <w:rFonts w:ascii="Times New Roman" w:eastAsia="Times New Roman" w:hAnsi="Times New Roman" w:cs="Times New Roman"/>
            <w:color w:val="006600"/>
            <w:sz w:val="20"/>
            <w:szCs w:val="20"/>
            <w:u w:val="single"/>
            <w:lang w:val="ru-RU" w:eastAsia="ru-RU"/>
          </w:rPr>
          <w:t>мережі</w:t>
        </w:r>
        <w:proofErr w:type="spellEnd"/>
        <w:r w:rsidRPr="00A71DB5">
          <w:rPr>
            <w:rFonts w:ascii="Times New Roman" w:eastAsia="Times New Roman" w:hAnsi="Times New Roman" w:cs="Times New Roman"/>
            <w:color w:val="006600"/>
            <w:sz w:val="20"/>
            <w:szCs w:val="20"/>
            <w:u w:val="single"/>
            <w:lang w:val="ru-RU" w:eastAsia="ru-RU"/>
          </w:rPr>
          <w:t xml:space="preserve"> </w:t>
        </w:r>
        <w:proofErr w:type="spellStart"/>
        <w:r w:rsidRPr="00A71DB5">
          <w:rPr>
            <w:rFonts w:ascii="Times New Roman" w:eastAsia="Times New Roman" w:hAnsi="Times New Roman" w:cs="Times New Roman"/>
            <w:color w:val="006600"/>
            <w:sz w:val="20"/>
            <w:szCs w:val="20"/>
            <w:u w:val="single"/>
            <w:lang w:val="ru-RU" w:eastAsia="ru-RU"/>
          </w:rPr>
          <w:t>загального</w:t>
        </w:r>
        <w:proofErr w:type="spellEnd"/>
        <w:r w:rsidRPr="00A71DB5">
          <w:rPr>
            <w:rFonts w:ascii="Times New Roman" w:eastAsia="Times New Roman" w:hAnsi="Times New Roman" w:cs="Times New Roman"/>
            <w:color w:val="006600"/>
            <w:sz w:val="20"/>
            <w:szCs w:val="20"/>
            <w:u w:val="single"/>
            <w:lang w:val="ru-RU" w:eastAsia="ru-RU"/>
          </w:rPr>
          <w:t xml:space="preserve"> </w:t>
        </w:r>
        <w:proofErr w:type="spellStart"/>
        <w:r w:rsidRPr="00A71DB5">
          <w:rPr>
            <w:rFonts w:ascii="Times New Roman" w:eastAsia="Times New Roman" w:hAnsi="Times New Roman" w:cs="Times New Roman"/>
            <w:color w:val="006600"/>
            <w:sz w:val="20"/>
            <w:szCs w:val="20"/>
            <w:u w:val="single"/>
            <w:lang w:val="ru-RU" w:eastAsia="ru-RU"/>
          </w:rPr>
          <w:t>користування</w:t>
        </w:r>
        <w:proofErr w:type="spellEnd"/>
      </w:hyperlink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що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додається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</w:p>
    <w:p w:rsidR="00A71DB5" w:rsidRPr="00A71DB5" w:rsidRDefault="00A71DB5" w:rsidP="00A71D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4" w:name="n7"/>
      <w:bookmarkEnd w:id="4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2. Департаменту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стратегії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розвитку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зв’язку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Адміністрац</w:t>
      </w:r>
      <w:proofErr w:type="gram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ії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Д</w:t>
      </w:r>
      <w:proofErr w:type="gram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ержавної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служби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спеціального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зв’язку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та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захисту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інформації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України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забезпечити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подання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цього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наказу в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установленому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порядку на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державну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реєстрацію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до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Міністерства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юстиції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України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</w:p>
    <w:p w:rsidR="00A71DB5" w:rsidRPr="00A71DB5" w:rsidRDefault="00A71DB5" w:rsidP="00A71D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5" w:name="n8"/>
      <w:bookmarkEnd w:id="5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3.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Цей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наказ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набирає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чинності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з дня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його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офіційного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опублікування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</w:p>
    <w:p w:rsidR="00A71DB5" w:rsidRPr="00A71DB5" w:rsidRDefault="00A71DB5" w:rsidP="00A71D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6" w:name="n9"/>
      <w:bookmarkEnd w:id="6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4. Контроль за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виконанням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цього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наказу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залишаю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за собою.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1685"/>
        <w:gridCol w:w="3744"/>
      </w:tblGrid>
      <w:tr w:rsidR="00A71DB5" w:rsidRPr="00A71DB5" w:rsidTr="00A71DB5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DB5" w:rsidRPr="00A71DB5" w:rsidRDefault="00A71DB5" w:rsidP="00A71DB5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7" w:name="n10"/>
            <w:bookmarkEnd w:id="7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Голова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Служби</w:t>
            </w:r>
            <w:proofErr w:type="spellEnd"/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DB5" w:rsidRPr="00A71DB5" w:rsidRDefault="00A71DB5" w:rsidP="00A71DB5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Г.А.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Резніков</w:t>
            </w:r>
            <w:proofErr w:type="spellEnd"/>
          </w:p>
        </w:tc>
      </w:tr>
      <w:tr w:rsidR="00A71DB5" w:rsidRPr="00A71DB5" w:rsidTr="00A71DB5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8" w:name="n76"/>
            <w:bookmarkEnd w:id="8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ПОГОДЖЕНО:</w:t>
            </w:r>
          </w:p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В.о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 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Голови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Національної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комісії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здійснює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державне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регулювання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у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сфері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зв'язку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інформатизації</w:t>
            </w:r>
            <w:proofErr w:type="spellEnd"/>
          </w:p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В.о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Міністра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охорони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</w:p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Голова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Державної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служби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з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питань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регуляторної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політики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та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розвитку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ідприємництва</w:t>
            </w:r>
            <w:proofErr w:type="spellEnd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A71DB5" w:rsidRPr="00A71DB5" w:rsidRDefault="00A71DB5" w:rsidP="00A71DB5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О.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Речкалов</w:t>
            </w:r>
            <w:proofErr w:type="spellEnd"/>
          </w:p>
          <w:p w:rsidR="00A71DB5" w:rsidRPr="00A71DB5" w:rsidRDefault="00A71DB5" w:rsidP="00A71DB5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О.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Толстанов</w:t>
            </w:r>
            <w:proofErr w:type="spellEnd"/>
          </w:p>
          <w:p w:rsidR="00A71DB5" w:rsidRPr="00A71DB5" w:rsidRDefault="00A71DB5" w:rsidP="00A71DB5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М.Ю.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Бродський</w:t>
            </w:r>
            <w:proofErr w:type="spellEnd"/>
          </w:p>
        </w:tc>
      </w:tr>
    </w:tbl>
    <w:p w:rsidR="00A71DB5" w:rsidRPr="00A71DB5" w:rsidRDefault="00A71DB5" w:rsidP="00A71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9" w:name="n60"/>
      <w:bookmarkEnd w:id="9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pict>
          <v:rect id="_x0000_i1025" style="width:0;height:0" o:hralign="center" o:hrstd="t" o:hrnoshade="t" o:hr="t" fillcolor="black" stroked="f"/>
        </w:pict>
      </w:r>
    </w:p>
    <w:p w:rsidR="00A71DB5" w:rsidRPr="00A71DB5" w:rsidRDefault="00A71DB5" w:rsidP="00A71D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10" w:name="n59"/>
      <w:bookmarkEnd w:id="1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A71DB5" w:rsidRPr="00A71DB5" w:rsidTr="00A71DB5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11" w:name="n11"/>
            <w:bookmarkEnd w:id="11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>ЗАТВЕРДЖЕНО</w:t>
            </w: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 xml:space="preserve">Наказ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Адміністрац</w:t>
            </w:r>
            <w:proofErr w:type="gramStart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ії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</w:t>
            </w:r>
            <w:proofErr w:type="gramEnd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ержавної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служби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спеціального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зв’язку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та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захисту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інформації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18.06.2013  № 324</w:t>
            </w:r>
          </w:p>
        </w:tc>
      </w:tr>
      <w:tr w:rsidR="00A71DB5" w:rsidRPr="00A71DB5" w:rsidTr="00A71DB5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12" w:name="n12"/>
            <w:bookmarkEnd w:id="12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Зареєстровано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Міністерстві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юстиції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9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липня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2013 р.</w:t>
            </w: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 № 1139/23671</w:t>
            </w:r>
          </w:p>
        </w:tc>
      </w:tr>
    </w:tbl>
    <w:p w:rsidR="00A71DB5" w:rsidRPr="00A71DB5" w:rsidRDefault="00A71DB5" w:rsidP="00A71DB5">
      <w:pPr>
        <w:shd w:val="clear" w:color="auto" w:fill="FFFFFF"/>
        <w:spacing w:before="300" w:after="4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13" w:name="n13"/>
      <w:bookmarkEnd w:id="13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ПОРЯДОК</w:t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передачі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викликів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екстреної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медичної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допомоги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за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єдиним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телефонним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номером 103 в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телекомунікаційній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мережі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загального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користування</w:t>
      </w:r>
      <w:proofErr w:type="spellEnd"/>
    </w:p>
    <w:p w:rsidR="00A71DB5" w:rsidRPr="00A71DB5" w:rsidRDefault="00A71DB5" w:rsidP="00A71DB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14" w:name="n14"/>
      <w:bookmarkEnd w:id="14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І.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Загальні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положення</w:t>
      </w:r>
      <w:proofErr w:type="spellEnd"/>
    </w:p>
    <w:p w:rsidR="00A71DB5" w:rsidRPr="00A71DB5" w:rsidRDefault="00A71DB5" w:rsidP="00A71D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15" w:name="n15"/>
      <w:bookmarkEnd w:id="15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1.1.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Цей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Порядок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розроблено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відповідно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до 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fldChar w:fldCharType="begin"/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instrText xml:space="preserve"> HYPERLINK "https://zakon.rada.gov.ua/laws/show/1280-15" \t "_blank" </w:instrText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fldChar w:fldCharType="separate"/>
      </w:r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Законів</w:t>
      </w:r>
      <w:proofErr w:type="spell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України</w:t>
      </w:r>
      <w:proofErr w:type="spell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 xml:space="preserve"> "Про </w:t>
      </w:r>
      <w:proofErr w:type="spellStart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телекомунікації</w:t>
      </w:r>
      <w:proofErr w:type="spell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"</w:t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fldChar w:fldCharType="end"/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, </w:t>
      </w:r>
      <w:hyperlink r:id="rId9" w:tgtFrame="_blank" w:history="1"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 xml:space="preserve">"Про </w:t>
        </w:r>
        <w:proofErr w:type="spellStart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>екстрену</w:t>
        </w:r>
        <w:proofErr w:type="spellEnd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 xml:space="preserve"> </w:t>
        </w:r>
        <w:proofErr w:type="spellStart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>медичну</w:t>
        </w:r>
        <w:proofErr w:type="spellEnd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 xml:space="preserve"> </w:t>
        </w:r>
        <w:proofErr w:type="spellStart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>допомогу</w:t>
        </w:r>
        <w:proofErr w:type="spellEnd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>"</w:t>
        </w:r>
      </w:hyperlink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, 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fldChar w:fldCharType="begin"/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instrText xml:space="preserve"> HYPERLINK "https://zakon.rada.gov.ua/laws/show/978-2012-%D1%80" \t "_blank" </w:instrText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fldChar w:fldCharType="separate"/>
      </w:r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розпорядження</w:t>
      </w:r>
      <w:proofErr w:type="spell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Кабінету</w:t>
      </w:r>
      <w:proofErr w:type="spell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Міні</w:t>
      </w:r>
      <w:proofErr w:type="gramStart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стр</w:t>
      </w:r>
      <w:proofErr w:type="gram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ів</w:t>
      </w:r>
      <w:proofErr w:type="spell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України</w:t>
      </w:r>
      <w:proofErr w:type="spell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від</w:t>
      </w:r>
      <w:proofErr w:type="spell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 xml:space="preserve"> 21 листопада 2012 року № 978-р</w:t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fldChar w:fldCharType="end"/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 "Про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забезпечення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системи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екстреної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медичної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допомоги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телекомунікаційним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ресурсом".</w:t>
      </w:r>
    </w:p>
    <w:p w:rsidR="00A71DB5" w:rsidRPr="00A71DB5" w:rsidRDefault="00A71DB5" w:rsidP="00A71D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16" w:name="n16"/>
      <w:bookmarkEnd w:id="16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1.2. Метою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цього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документа є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визначення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порядку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передачі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викликів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екстреної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медичної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допомоги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операторами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телекомунікацій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з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території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Автономної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Республіки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Крим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, областей,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мі</w:t>
      </w:r>
      <w:proofErr w:type="gram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ст</w:t>
      </w:r>
      <w:proofErr w:type="spellEnd"/>
      <w:proofErr w:type="gram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Києва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і Севастополя до оперативно-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диспетчерських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служб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центрів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екстреної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медичної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допомоги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та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медицини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катастроф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зазначених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адміністративно-територіальних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одиниць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</w:p>
    <w:p w:rsidR="00A71DB5" w:rsidRPr="00A71DB5" w:rsidRDefault="00A71DB5" w:rsidP="00A71D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17" w:name="n17"/>
      <w:bookmarkEnd w:id="17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1.3.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Цей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Порядок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обов’язковий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для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всіх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операторів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телекомунікацій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та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проектувальників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телекомунікаційних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мереж.</w:t>
      </w:r>
    </w:p>
    <w:p w:rsidR="00A71DB5" w:rsidRPr="00A71DB5" w:rsidRDefault="00A71DB5" w:rsidP="00A71D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18" w:name="n18"/>
      <w:bookmarkEnd w:id="18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1.4. </w:t>
      </w:r>
      <w:proofErr w:type="spellStart"/>
      <w:proofErr w:type="gram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Терміни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що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використовуються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у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цьому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Порядку,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вживаються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у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значеннях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наведених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у Законах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України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 </w:t>
      </w:r>
      <w:hyperlink r:id="rId10" w:tgtFrame="_blank" w:history="1"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 xml:space="preserve">"Про </w:t>
        </w:r>
        <w:proofErr w:type="spellStart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>телекомунікації</w:t>
        </w:r>
        <w:proofErr w:type="spellEnd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>"</w:t>
        </w:r>
      </w:hyperlink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, </w:t>
      </w:r>
      <w:hyperlink r:id="rId11" w:tgtFrame="_blank" w:history="1"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 xml:space="preserve">"Про </w:t>
        </w:r>
        <w:proofErr w:type="spellStart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>екстрену</w:t>
        </w:r>
        <w:proofErr w:type="spellEnd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 xml:space="preserve"> </w:t>
        </w:r>
        <w:proofErr w:type="spellStart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>медичну</w:t>
        </w:r>
        <w:proofErr w:type="spellEnd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 xml:space="preserve"> </w:t>
        </w:r>
        <w:proofErr w:type="spellStart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>допомогу</w:t>
        </w:r>
        <w:proofErr w:type="spellEnd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>"</w:t>
        </w:r>
      </w:hyperlink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, </w:t>
      </w:r>
      <w:hyperlink r:id="rId12" w:tgtFrame="_blank" w:history="1"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 xml:space="preserve">Порядку </w:t>
        </w:r>
        <w:proofErr w:type="spellStart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>організації</w:t>
        </w:r>
        <w:proofErr w:type="spellEnd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 xml:space="preserve"> доступу </w:t>
        </w:r>
        <w:proofErr w:type="spellStart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>абонентів</w:t>
        </w:r>
        <w:proofErr w:type="spellEnd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 xml:space="preserve"> мереж </w:t>
        </w:r>
        <w:proofErr w:type="spellStart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>рухомого</w:t>
        </w:r>
        <w:proofErr w:type="spellEnd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 xml:space="preserve"> (</w:t>
        </w:r>
        <w:proofErr w:type="spellStart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>мобільного</w:t>
        </w:r>
        <w:proofErr w:type="spellEnd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 xml:space="preserve">) </w:t>
        </w:r>
        <w:proofErr w:type="spellStart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>зв'язку</w:t>
        </w:r>
        <w:proofErr w:type="spellEnd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 xml:space="preserve"> до служб </w:t>
        </w:r>
        <w:proofErr w:type="spellStart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>екстреної</w:t>
        </w:r>
        <w:proofErr w:type="spellEnd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 xml:space="preserve"> </w:t>
        </w:r>
        <w:proofErr w:type="spellStart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>допомоги</w:t>
        </w:r>
        <w:proofErr w:type="spellEnd"/>
      </w:hyperlink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затвердженому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наказом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Міністерства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транспорту та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зв’язку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України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від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07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жовтня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2009 року № 1034,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зареєстрованому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у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</w:t>
      </w:r>
      <w:proofErr w:type="gram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іністерстві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юстиції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України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29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жовтня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2009 року за № 1002/17018, 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fldChar w:fldCharType="begin"/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instrText xml:space="preserve"> HYPERLINK "https://zakon.rada.gov.ua/laws/show/z1947-12" \l "n13" \t "_blank" </w:instrText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fldChar w:fldCharType="separate"/>
      </w:r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Технічних</w:t>
      </w:r>
      <w:proofErr w:type="spell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вимогах</w:t>
      </w:r>
      <w:proofErr w:type="spell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 xml:space="preserve"> до </w:t>
      </w:r>
      <w:proofErr w:type="spellStart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телекомунікаційних</w:t>
      </w:r>
      <w:proofErr w:type="spell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 xml:space="preserve"> мереж </w:t>
      </w:r>
      <w:proofErr w:type="spellStart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України</w:t>
      </w:r>
      <w:proofErr w:type="spell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щодо</w:t>
      </w:r>
      <w:proofErr w:type="spell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забезпечення</w:t>
      </w:r>
      <w:proofErr w:type="spell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надання</w:t>
      </w:r>
      <w:proofErr w:type="spell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телекомунікаційних</w:t>
      </w:r>
      <w:proofErr w:type="spell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послуг</w:t>
      </w:r>
      <w:proofErr w:type="spell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перенесення</w:t>
      </w:r>
      <w:proofErr w:type="spell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абонентського</w:t>
      </w:r>
      <w:proofErr w:type="spell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 xml:space="preserve"> номера та </w:t>
      </w:r>
      <w:proofErr w:type="spellStart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користування</w:t>
      </w:r>
      <w:proofErr w:type="spell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>персональним</w:t>
      </w:r>
      <w:proofErr w:type="spellEnd"/>
      <w:r w:rsidRPr="00A71DB5">
        <w:rPr>
          <w:rFonts w:ascii="Times New Roman" w:eastAsia="Times New Roman" w:hAnsi="Times New Roman" w:cs="Times New Roman"/>
          <w:color w:val="000099"/>
          <w:sz w:val="20"/>
          <w:szCs w:val="20"/>
          <w:u w:val="single"/>
          <w:lang w:val="ru-RU" w:eastAsia="ru-RU"/>
        </w:rPr>
        <w:t xml:space="preserve"> номером</w:t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fldChar w:fldCharType="end"/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затверджених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наказом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Адміністрац</w:t>
      </w:r>
      <w:proofErr w:type="gram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ії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Д</w:t>
      </w:r>
      <w:proofErr w:type="gram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ержавної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служби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спеціального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зв’язку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та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захисту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інформації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України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від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01 листопада 2012 року № 617,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зареєстрованих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у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Міністерстві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юстиції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України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21 листопада 2012 року за № 1947/22259.</w:t>
      </w:r>
    </w:p>
    <w:p w:rsidR="00A71DB5" w:rsidRPr="00A71DB5" w:rsidRDefault="00A71DB5" w:rsidP="00A71D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19" w:name="n19"/>
      <w:bookmarkEnd w:id="19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1.5. У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цьому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Порядку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вживаються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такі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скорочення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і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позначення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"/>
        <w:gridCol w:w="1079"/>
        <w:gridCol w:w="8116"/>
      </w:tblGrid>
      <w:tr w:rsidR="00A71DB5" w:rsidRPr="00A71DB5" w:rsidTr="00A71DB5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B5" w:rsidRPr="00A71DB5" w:rsidRDefault="00A71DB5" w:rsidP="00A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20" w:name="n20"/>
            <w:bookmarkEnd w:id="20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АМТС</w:t>
            </w:r>
          </w:p>
        </w:tc>
        <w:tc>
          <w:tcPr>
            <w:tcW w:w="13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- автоматична </w:t>
            </w:r>
            <w:proofErr w:type="spellStart"/>
            <w:proofErr w:type="gram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</w:t>
            </w:r>
            <w:proofErr w:type="gram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іжміська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телефонна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станція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</w:tc>
      </w:tr>
      <w:tr w:rsidR="00A71DB5" w:rsidRPr="00A71DB5" w:rsidTr="00A71DB5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B5" w:rsidRPr="00A71DB5" w:rsidRDefault="00A71DB5" w:rsidP="00A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АТС</w:t>
            </w:r>
          </w:p>
        </w:tc>
        <w:tc>
          <w:tcPr>
            <w:tcW w:w="13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- автоматична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телефонна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станція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</w:tc>
      </w:tr>
      <w:tr w:rsidR="00A71DB5" w:rsidRPr="00A71DB5" w:rsidTr="00A71DB5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B5" w:rsidRPr="00A71DB5" w:rsidRDefault="00A71DB5" w:rsidP="00A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</w:t>
            </w:r>
          </w:p>
        </w:tc>
        <w:tc>
          <w:tcPr>
            <w:tcW w:w="13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-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вузлова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станція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</w:tc>
      </w:tr>
      <w:tr w:rsidR="00A71DB5" w:rsidRPr="00A71DB5" w:rsidTr="00A71DB5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B5" w:rsidRPr="00A71DB5" w:rsidRDefault="00A71DB5" w:rsidP="00A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ВСС</w:t>
            </w:r>
          </w:p>
        </w:tc>
        <w:tc>
          <w:tcPr>
            <w:tcW w:w="13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-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вузол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іальних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служб;</w:t>
            </w:r>
          </w:p>
        </w:tc>
      </w:tr>
      <w:tr w:rsidR="00A71DB5" w:rsidRPr="00A71DB5" w:rsidTr="00A71DB5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B5" w:rsidRPr="00A71DB5" w:rsidRDefault="00A71DB5" w:rsidP="00A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</w:t>
            </w:r>
          </w:p>
        </w:tc>
        <w:tc>
          <w:tcPr>
            <w:tcW w:w="13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-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кінцеве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обладнання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</w:tc>
      </w:tr>
      <w:tr w:rsidR="00A71DB5" w:rsidRPr="00A71DB5" w:rsidTr="00A71DB5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B5" w:rsidRPr="00A71DB5" w:rsidRDefault="00A71DB5" w:rsidP="00A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КС</w:t>
            </w:r>
          </w:p>
        </w:tc>
        <w:tc>
          <w:tcPr>
            <w:tcW w:w="13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-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кінцева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станція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</w:tc>
      </w:tr>
      <w:tr w:rsidR="00A71DB5" w:rsidRPr="00A71DB5" w:rsidTr="00A71DB5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B5" w:rsidRPr="00A71DB5" w:rsidRDefault="00A71DB5" w:rsidP="00A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ОПТС</w:t>
            </w:r>
          </w:p>
        </w:tc>
        <w:tc>
          <w:tcPr>
            <w:tcW w:w="13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 опорно-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транзитна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станція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</w:tc>
      </w:tr>
      <w:tr w:rsidR="00A71DB5" w:rsidRPr="00A71DB5" w:rsidTr="00A71DB5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B5" w:rsidRPr="00A71DB5" w:rsidRDefault="00A71DB5" w:rsidP="00A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СКС-7</w:t>
            </w:r>
          </w:p>
        </w:tc>
        <w:tc>
          <w:tcPr>
            <w:tcW w:w="13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-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спільноканальна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сигналізація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№ 7;</w:t>
            </w:r>
          </w:p>
        </w:tc>
      </w:tr>
      <w:tr w:rsidR="00A71DB5" w:rsidRPr="00A71DB5" w:rsidTr="00A71DB5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B5" w:rsidRPr="00A71DB5" w:rsidRDefault="00A71DB5" w:rsidP="00A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ТМЗК</w:t>
            </w:r>
          </w:p>
        </w:tc>
        <w:tc>
          <w:tcPr>
            <w:tcW w:w="13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-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телекомунікаційна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мережа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загального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користування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</w:tc>
      </w:tr>
      <w:tr w:rsidR="00A71DB5" w:rsidRPr="00A71DB5" w:rsidTr="00A71DB5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B5" w:rsidRPr="00A71DB5" w:rsidRDefault="00A71DB5" w:rsidP="00A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ЦЕМД</w:t>
            </w:r>
          </w:p>
        </w:tc>
        <w:tc>
          <w:tcPr>
            <w:tcW w:w="13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- центр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екстреної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медичної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допомоги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медицини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катастроф;</w:t>
            </w:r>
          </w:p>
        </w:tc>
      </w:tr>
      <w:tr w:rsidR="00A71DB5" w:rsidRPr="00A71DB5" w:rsidTr="00A71DB5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B5" w:rsidRPr="00A71DB5" w:rsidRDefault="00A71DB5" w:rsidP="00A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ЦКРЗ</w:t>
            </w:r>
          </w:p>
        </w:tc>
        <w:tc>
          <w:tcPr>
            <w:tcW w:w="13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- центр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комутації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рухомого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мобільного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зв'язку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</w:tc>
      </w:tr>
      <w:tr w:rsidR="00A71DB5" w:rsidRPr="00A71DB5" w:rsidTr="00A71DB5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B5" w:rsidRPr="00A71DB5" w:rsidRDefault="00A71DB5" w:rsidP="00A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ЦС</w:t>
            </w:r>
          </w:p>
        </w:tc>
        <w:tc>
          <w:tcPr>
            <w:tcW w:w="13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- центральна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станція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</w:tr>
    </w:tbl>
    <w:p w:rsidR="00A71DB5" w:rsidRPr="00A71DB5" w:rsidRDefault="00A71DB5" w:rsidP="00A71DB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21" w:name="n21"/>
      <w:bookmarkEnd w:id="21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ІІ.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Основні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техн</w:t>
      </w:r>
      <w:proofErr w:type="gram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ічні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вимоги</w:t>
      </w:r>
      <w:proofErr w:type="spellEnd"/>
    </w:p>
    <w:p w:rsidR="00A71DB5" w:rsidRPr="00A71DB5" w:rsidRDefault="00A71DB5" w:rsidP="00A71D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22" w:name="n22"/>
      <w:bookmarkEnd w:id="22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2.1. Структура і </w:t>
      </w:r>
      <w:proofErr w:type="spellStart"/>
      <w:proofErr w:type="gram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техн</w:t>
      </w:r>
      <w:proofErr w:type="gram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ічні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характеристики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взаємодії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телекомунікаційних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мереж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із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системою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екстреної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медичної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допомоги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повинні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відповідати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вимогам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нормативних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документів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щодо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проектування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і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функціонування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телекомунікаційної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мережі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загального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користування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України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</w:p>
    <w:p w:rsidR="00A71DB5" w:rsidRPr="00A71DB5" w:rsidRDefault="00A71DB5" w:rsidP="00A71D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23" w:name="n23"/>
      <w:bookmarkEnd w:id="23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2.2.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Забезпечення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взаємодії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ТМЗК і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системи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екстреної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медичної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допомоги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здійснюється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з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дотриманням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вимог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до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побудови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ТМЗК,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сигналізації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, </w:t>
      </w:r>
      <w:proofErr w:type="spellStart"/>
      <w:proofErr w:type="gram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техн</w:t>
      </w:r>
      <w:proofErr w:type="gram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ічної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експлуатації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показників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якості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міжстанційної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взаємодії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телекомунікаційних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мереж, методики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визначення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міжстанційних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навантажень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, норм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втрат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викликів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кількості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з’єднувальних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ліній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інших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вимог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які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встановлені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керівним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нормативним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документом 45-076-98 "Система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автоматизованого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gram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телефонного</w:t>
      </w:r>
      <w:proofErr w:type="gram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зв’язку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для мереж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загального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користування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(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САТфЗ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).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Основні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положення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",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затвердженим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наказом Державного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комітету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зв’язку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та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інформатизації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України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від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16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травня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2001 року № 78 (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далі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- КНД 45-076-98),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відомчими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будівельними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нормами В.2.2-33-2007 "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Проектування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телекомунікацій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.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Споруди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станційні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місцевих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телефонних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мереж",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затвердженими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 </w:t>
      </w:r>
      <w:hyperlink r:id="rId13" w:tgtFrame="_blank" w:history="1"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 xml:space="preserve">наказом </w:t>
        </w:r>
        <w:proofErr w:type="spellStart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>Міністерства</w:t>
        </w:r>
        <w:proofErr w:type="spellEnd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 xml:space="preserve"> транспорту та </w:t>
        </w:r>
        <w:proofErr w:type="spellStart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>зв’язку</w:t>
        </w:r>
        <w:proofErr w:type="spellEnd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 xml:space="preserve"> </w:t>
        </w:r>
        <w:proofErr w:type="spellStart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>України</w:t>
        </w:r>
        <w:proofErr w:type="spellEnd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 xml:space="preserve"> </w:t>
        </w:r>
        <w:proofErr w:type="spellStart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>від</w:t>
        </w:r>
        <w:proofErr w:type="spellEnd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 xml:space="preserve"> 29 </w:t>
        </w:r>
        <w:proofErr w:type="spellStart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>грудня</w:t>
        </w:r>
        <w:proofErr w:type="spellEnd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 xml:space="preserve"> 2007 року № 1198</w:t>
        </w:r>
      </w:hyperlink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</w:p>
    <w:p w:rsidR="00A71DB5" w:rsidRPr="00A71DB5" w:rsidRDefault="00A71DB5" w:rsidP="00A71D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24" w:name="n24"/>
      <w:bookmarkEnd w:id="24"/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Маршрутизація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викликів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екстреної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медичної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допомоги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здійснюється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відповідно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до </w:t>
      </w:r>
      <w:hyperlink r:id="rId14" w:anchor="n12" w:tgtFrame="_blank" w:history="1"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 xml:space="preserve">Порядку </w:t>
        </w:r>
        <w:proofErr w:type="spellStart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>маршрутизації</w:t>
        </w:r>
        <w:proofErr w:type="spellEnd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 xml:space="preserve"> </w:t>
        </w:r>
        <w:proofErr w:type="spellStart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>трафіка</w:t>
        </w:r>
        <w:proofErr w:type="spellEnd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 xml:space="preserve"> в </w:t>
        </w:r>
        <w:proofErr w:type="spellStart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>телекомунікаційній</w:t>
        </w:r>
        <w:proofErr w:type="spellEnd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 xml:space="preserve"> </w:t>
        </w:r>
        <w:proofErr w:type="spellStart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>мережі</w:t>
        </w:r>
        <w:proofErr w:type="spellEnd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 xml:space="preserve"> </w:t>
        </w:r>
        <w:proofErr w:type="spellStart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>загального</w:t>
        </w:r>
        <w:proofErr w:type="spellEnd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 xml:space="preserve"> </w:t>
        </w:r>
        <w:proofErr w:type="spellStart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>користування</w:t>
        </w:r>
        <w:proofErr w:type="spellEnd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 xml:space="preserve"> </w:t>
        </w:r>
        <w:proofErr w:type="spellStart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>України</w:t>
        </w:r>
        <w:proofErr w:type="spellEnd"/>
      </w:hyperlink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затвердженого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р</w:t>
      </w:r>
      <w:proofErr w:type="gram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ішенням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Національної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комісії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що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здійснює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державне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регулювання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у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сфері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зв’язку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та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інформатизації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від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05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липня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2012 року № 324,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зареєстрованого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у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Міністерстві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юстиції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України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25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липня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2012 року за № 1252/21564.</w:t>
      </w:r>
    </w:p>
    <w:p w:rsidR="00A71DB5" w:rsidRPr="00A71DB5" w:rsidRDefault="00A71DB5" w:rsidP="00A71D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25" w:name="n25"/>
      <w:bookmarkEnd w:id="25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2.3.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Кількість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з’єднувальних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ліній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при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взаємоз’єднанні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мережі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оператора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телекомунікацій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і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системи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екстреної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медичної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допомоги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(за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телефонним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номером 103) </w:t>
      </w:r>
      <w:proofErr w:type="gram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повинна</w:t>
      </w:r>
      <w:proofErr w:type="gram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розраховуватися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виходячи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з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норми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втрат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викликів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- 0,001.</w:t>
      </w:r>
    </w:p>
    <w:p w:rsidR="00A71DB5" w:rsidRPr="00A71DB5" w:rsidRDefault="00A71DB5" w:rsidP="00A71D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26" w:name="n26"/>
      <w:bookmarkEnd w:id="26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При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здійсненні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розрахунку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навантаження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на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кожну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лінію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взаємоз’єднання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враховуються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години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найбільшого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навантаження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. За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відсутності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вимірювань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параметрів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навантаження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рекомендується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задавати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gram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питому</w:t>
      </w:r>
      <w:proofErr w:type="gram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інтенсивність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навантаження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служби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екстреної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медичної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допомоги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від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0,1 до 0,15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Ерланг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при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середній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тривалості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заняття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абонентської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лінії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системи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екстреної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медичної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допомоги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55 секунд.</w:t>
      </w:r>
    </w:p>
    <w:p w:rsidR="00A71DB5" w:rsidRPr="00A71DB5" w:rsidRDefault="00A71DB5" w:rsidP="00A71D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27" w:name="n27"/>
      <w:bookmarkEnd w:id="27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2.4. Оператор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телекомунікацій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при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передачі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викликів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екстреної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медичної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допомоги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за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єдиним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телефонним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номером 103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зобов’язаний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невідкладно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передавати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таку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інформацію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про абонента,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що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виклика</w:t>
      </w:r>
      <w:proofErr w:type="gram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є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:</w:t>
      </w:r>
      <w:proofErr w:type="gramEnd"/>
    </w:p>
    <w:p w:rsidR="00A71DB5" w:rsidRPr="00A71DB5" w:rsidRDefault="00A71DB5" w:rsidP="00A71D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28" w:name="n28"/>
      <w:bookmarkEnd w:id="28"/>
      <w:proofErr w:type="gram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</w:t>
      </w:r>
      <w:proofErr w:type="gram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мереж</w:t>
      </w:r>
      <w:proofErr w:type="gram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рухомого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(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мобільного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)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зв’язку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-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абонентський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номер і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місцезнаходження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абонента;</w:t>
      </w:r>
    </w:p>
    <w:p w:rsidR="00A71DB5" w:rsidRPr="00A71DB5" w:rsidRDefault="00A71DB5" w:rsidP="00A71D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29" w:name="n29"/>
      <w:bookmarkEnd w:id="29"/>
      <w:proofErr w:type="gram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</w:t>
      </w:r>
      <w:proofErr w:type="gram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мереж</w:t>
      </w:r>
      <w:proofErr w:type="gram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фіксованого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зв’язку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-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абонентський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номер.</w:t>
      </w:r>
    </w:p>
    <w:p w:rsidR="00A71DB5" w:rsidRPr="00A71DB5" w:rsidRDefault="00A71DB5" w:rsidP="00A71D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30" w:name="n30"/>
      <w:bookmarkEnd w:id="30"/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Формати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даних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про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абонентський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номер і </w:t>
      </w:r>
      <w:proofErr w:type="spellStart"/>
      <w:proofErr w:type="gram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</w:t>
      </w:r>
      <w:proofErr w:type="gram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ісцезнаходження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абонента, а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також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порядок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їх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передавання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забезпечуються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відповідно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до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вимог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 </w:t>
      </w:r>
      <w:hyperlink r:id="rId15" w:tgtFrame="_blank" w:history="1"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 xml:space="preserve">наказу </w:t>
        </w:r>
        <w:proofErr w:type="spellStart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>Міністерства</w:t>
        </w:r>
        <w:proofErr w:type="spellEnd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 xml:space="preserve"> транспорту та </w:t>
        </w:r>
        <w:proofErr w:type="spellStart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>зв’язку</w:t>
        </w:r>
        <w:proofErr w:type="spellEnd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 xml:space="preserve"> </w:t>
        </w:r>
        <w:proofErr w:type="spellStart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>України</w:t>
        </w:r>
        <w:proofErr w:type="spellEnd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 xml:space="preserve"> </w:t>
        </w:r>
        <w:proofErr w:type="spellStart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>від</w:t>
        </w:r>
        <w:proofErr w:type="spellEnd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 xml:space="preserve"> 13 </w:t>
        </w:r>
        <w:proofErr w:type="spellStart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>грудня</w:t>
        </w:r>
        <w:proofErr w:type="spellEnd"/>
        <w:r w:rsidRPr="00A71D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val="ru-RU" w:eastAsia="ru-RU"/>
          </w:rPr>
          <w:t xml:space="preserve"> 2007 року № 1164</w:t>
        </w:r>
      </w:hyperlink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 "Про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затвердження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нормативного документа "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Спільноканальна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сигналізація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№ 7.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Національна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версія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України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. Правила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використання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у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телефонній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мережі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загального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користування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.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Версія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3.0".</w:t>
      </w:r>
    </w:p>
    <w:p w:rsidR="00A71DB5" w:rsidRPr="00A71DB5" w:rsidRDefault="00A71DB5" w:rsidP="00A71D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31" w:name="n31"/>
      <w:bookmarkEnd w:id="31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2.5.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Зворотний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виклик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від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системи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екстреної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медичної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допомоги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до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споживача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не є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екстреним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викликом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і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здійснюється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за схемами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організації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зв’язку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визначеними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у КНД 45-076-98.</w:t>
      </w:r>
    </w:p>
    <w:p w:rsidR="00A71DB5" w:rsidRPr="00A71DB5" w:rsidRDefault="00A71DB5" w:rsidP="00A71D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32" w:name="n32"/>
      <w:bookmarkEnd w:id="32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2.6.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Взаємоз’єднання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ТМЗК і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системи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екстреної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медичної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допомоги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здійснюється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згідно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із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проектними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р</w:t>
      </w:r>
      <w:proofErr w:type="gram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ішеннями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розробленими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відповідно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до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технічних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завдань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на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проектні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роботи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щодо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підключення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центрів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екстреної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медичної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допомоги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та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медицини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катастроф на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території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Автономної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Республіки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Крим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, областей,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міст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Києва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і Севастополя до ТМЗК.</w:t>
      </w:r>
    </w:p>
    <w:p w:rsidR="00A71DB5" w:rsidRPr="00A71DB5" w:rsidRDefault="00A71DB5" w:rsidP="00A71DB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33" w:name="n33"/>
      <w:bookmarkEnd w:id="33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ІІІ. Порядок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організації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передачі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викликів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екстреної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медичної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допомоги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до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системи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екстреної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медичної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допомоги</w:t>
      </w:r>
      <w:proofErr w:type="spellEnd"/>
    </w:p>
    <w:p w:rsidR="00A71DB5" w:rsidRPr="00A71DB5" w:rsidRDefault="00A71DB5" w:rsidP="00A71D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34" w:name="n35"/>
      <w:bookmarkEnd w:id="34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3.1. Передача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викликі</w:t>
      </w:r>
      <w:proofErr w:type="gram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</w:t>
      </w:r>
      <w:proofErr w:type="spellEnd"/>
      <w:proofErr w:type="gram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абонент</w:t>
      </w:r>
      <w:proofErr w:type="gram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ів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фіксованої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ТМЗК до служб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екстреного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виклику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здійснюється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за схемою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згідно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з 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fldChar w:fldCharType="begin"/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instrText xml:space="preserve"> HYPERLINK "https://zakon.rada.gov.ua/laws/show/z1139-13" \l "n45" </w:instrText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fldChar w:fldCharType="separate"/>
      </w:r>
      <w:r w:rsidRPr="00A71DB5">
        <w:rPr>
          <w:rFonts w:ascii="Times New Roman" w:eastAsia="Times New Roman" w:hAnsi="Times New Roman" w:cs="Times New Roman"/>
          <w:color w:val="006600"/>
          <w:sz w:val="20"/>
          <w:szCs w:val="20"/>
          <w:u w:val="single"/>
          <w:lang w:val="ru-RU" w:eastAsia="ru-RU"/>
        </w:rPr>
        <w:t>додатком</w:t>
      </w:r>
      <w:proofErr w:type="spellEnd"/>
      <w:r w:rsidRPr="00A71DB5">
        <w:rPr>
          <w:rFonts w:ascii="Times New Roman" w:eastAsia="Times New Roman" w:hAnsi="Times New Roman" w:cs="Times New Roman"/>
          <w:color w:val="006600"/>
          <w:sz w:val="20"/>
          <w:szCs w:val="20"/>
          <w:u w:val="single"/>
          <w:lang w:val="ru-RU" w:eastAsia="ru-RU"/>
        </w:rPr>
        <w:t xml:space="preserve"> 1</w:t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fldChar w:fldCharType="end"/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</w:p>
    <w:p w:rsidR="00A71DB5" w:rsidRPr="00A71DB5" w:rsidRDefault="00A71DB5" w:rsidP="00A71D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35" w:name="n36"/>
      <w:bookmarkEnd w:id="35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lastRenderedPageBreak/>
        <w:t xml:space="preserve">3.2. Передача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викликів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абонентів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фіксованої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ТМЗК до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системи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екстреної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медичної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допомоги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за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єдиним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телефонним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номером 103 на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території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відповідних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адм</w:t>
      </w:r>
      <w:proofErr w:type="gram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іністративно-територіальних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одиниць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здійснюється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за схемою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згідно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з 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fldChar w:fldCharType="begin"/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instrText xml:space="preserve"> HYPERLINK "https://zakon.rada.gov.ua/laws/show/z1139-13" \l "n49" </w:instrText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fldChar w:fldCharType="separate"/>
      </w:r>
      <w:r w:rsidRPr="00A71DB5">
        <w:rPr>
          <w:rFonts w:ascii="Times New Roman" w:eastAsia="Times New Roman" w:hAnsi="Times New Roman" w:cs="Times New Roman"/>
          <w:color w:val="006600"/>
          <w:sz w:val="20"/>
          <w:szCs w:val="20"/>
          <w:u w:val="single"/>
          <w:lang w:val="ru-RU" w:eastAsia="ru-RU"/>
        </w:rPr>
        <w:t>додатком</w:t>
      </w:r>
      <w:proofErr w:type="spellEnd"/>
      <w:r w:rsidRPr="00A71DB5">
        <w:rPr>
          <w:rFonts w:ascii="Times New Roman" w:eastAsia="Times New Roman" w:hAnsi="Times New Roman" w:cs="Times New Roman"/>
          <w:color w:val="006600"/>
          <w:sz w:val="20"/>
          <w:szCs w:val="20"/>
          <w:u w:val="single"/>
          <w:lang w:val="ru-RU" w:eastAsia="ru-RU"/>
        </w:rPr>
        <w:t xml:space="preserve"> 2</w:t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fldChar w:fldCharType="end"/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</w:p>
    <w:p w:rsidR="00A71DB5" w:rsidRPr="00A71DB5" w:rsidRDefault="00A71DB5" w:rsidP="00A71D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36" w:name="n37"/>
      <w:bookmarkEnd w:id="36"/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Цифрові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ЦС, АТС, АМТС/ОПТС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забезпечують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формування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інформації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про абонента,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зазначеної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gram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у</w:t>
      </w:r>
      <w:proofErr w:type="gram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пункт</w:t>
      </w:r>
      <w:proofErr w:type="gram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2.4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розділу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ІІ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цього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Порядку, з метою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її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передачі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до ЦЕМД.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Якщо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в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телекомунікаційній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мережі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оператора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наявні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аналогові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вузли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комутації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що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не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можуть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формувати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та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передавати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інформацію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про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споживача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такі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сегменти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замінюються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на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цифрові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</w:p>
    <w:p w:rsidR="00A71DB5" w:rsidRPr="00A71DB5" w:rsidRDefault="00A71DB5" w:rsidP="00A71D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37" w:name="n38"/>
      <w:bookmarkEnd w:id="37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3.3. Передача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викликів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абонентів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рухомого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(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мобільного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)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зв'язку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до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системи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екстреної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медичної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допомоги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за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єдиним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телефонним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номером 103 на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території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відповідних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адм</w:t>
      </w:r>
      <w:proofErr w:type="gram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іністративно-територіальних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одиниць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здійснюється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за схемою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згідно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з 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fldChar w:fldCharType="begin"/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instrText xml:space="preserve"> HYPERLINK "https://zakon.rada.gov.ua/laws/show/z1139-13" \l "n53" </w:instrText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fldChar w:fldCharType="separate"/>
      </w:r>
      <w:r w:rsidRPr="00A71DB5">
        <w:rPr>
          <w:rFonts w:ascii="Times New Roman" w:eastAsia="Times New Roman" w:hAnsi="Times New Roman" w:cs="Times New Roman"/>
          <w:color w:val="006600"/>
          <w:sz w:val="20"/>
          <w:szCs w:val="20"/>
          <w:u w:val="single"/>
          <w:lang w:val="ru-RU" w:eastAsia="ru-RU"/>
        </w:rPr>
        <w:t>додатком</w:t>
      </w:r>
      <w:proofErr w:type="spellEnd"/>
      <w:r w:rsidRPr="00A71DB5">
        <w:rPr>
          <w:rFonts w:ascii="Times New Roman" w:eastAsia="Times New Roman" w:hAnsi="Times New Roman" w:cs="Times New Roman"/>
          <w:color w:val="006600"/>
          <w:sz w:val="20"/>
          <w:szCs w:val="20"/>
          <w:u w:val="single"/>
          <w:lang w:val="ru-RU" w:eastAsia="ru-RU"/>
        </w:rPr>
        <w:t xml:space="preserve"> 3</w:t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fldChar w:fldCharType="end"/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</w:p>
    <w:p w:rsidR="00A71DB5" w:rsidRPr="00A71DB5" w:rsidRDefault="00A71DB5" w:rsidP="00A71D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38" w:name="n39"/>
      <w:bookmarkEnd w:id="38"/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Ця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схема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передбачає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доступ до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системи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екстреної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медичної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допомоги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шляхом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використання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виділених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каналів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зв’язку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між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ЦКРЗ і ЦЕМД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безпосередньо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або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через ВСС,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що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розташований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на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території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відповідної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адм</w:t>
      </w:r>
      <w:proofErr w:type="gram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іністративно-територіальної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одиниці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</w:p>
    <w:p w:rsidR="00A71DB5" w:rsidRPr="00A71DB5" w:rsidRDefault="00A71DB5" w:rsidP="00A71D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39" w:name="n40"/>
      <w:bookmarkEnd w:id="39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3.4. У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разі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побудови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телекомунікаційної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мережі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системи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екстреної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медичної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допомоги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дозволяється</w:t>
      </w:r>
      <w:proofErr w:type="spellEnd"/>
      <w:proofErr w:type="gram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використовувати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схему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передачі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викликів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абонентів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ТМЗК до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телекомунікаційної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мережі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системи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екстреної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медичної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допомоги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за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єдиним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телефонним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номером 103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згідно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з 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fldChar w:fldCharType="begin"/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instrText xml:space="preserve"> HYPERLINK "https://zakon.rada.gov.ua/laws/show/z1139-13" \l "n56" </w:instrText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fldChar w:fldCharType="separate"/>
      </w:r>
      <w:r w:rsidRPr="00A71DB5">
        <w:rPr>
          <w:rFonts w:ascii="Times New Roman" w:eastAsia="Times New Roman" w:hAnsi="Times New Roman" w:cs="Times New Roman"/>
          <w:color w:val="006600"/>
          <w:sz w:val="20"/>
          <w:szCs w:val="20"/>
          <w:u w:val="single"/>
          <w:lang w:val="ru-RU" w:eastAsia="ru-RU"/>
        </w:rPr>
        <w:t>додатком</w:t>
      </w:r>
      <w:proofErr w:type="spellEnd"/>
      <w:r w:rsidRPr="00A71DB5">
        <w:rPr>
          <w:rFonts w:ascii="Times New Roman" w:eastAsia="Times New Roman" w:hAnsi="Times New Roman" w:cs="Times New Roman"/>
          <w:color w:val="006600"/>
          <w:sz w:val="20"/>
          <w:szCs w:val="20"/>
          <w:u w:val="single"/>
          <w:lang w:val="ru-RU" w:eastAsia="ru-RU"/>
        </w:rPr>
        <w:t xml:space="preserve"> 4</w:t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fldChar w:fldCharType="end"/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</w:p>
    <w:p w:rsidR="00A71DB5" w:rsidRPr="00A71DB5" w:rsidRDefault="00A71DB5" w:rsidP="00A71D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40" w:name="n41"/>
      <w:bookmarkEnd w:id="40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Схема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передбачає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використання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шлюзів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які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встановлюються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в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телекомунікаційній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мережі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системи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екстреної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медичної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допомоги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що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виконує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подальшу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передачу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викликі</w:t>
      </w:r>
      <w:proofErr w:type="gram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</w:t>
      </w:r>
      <w:proofErr w:type="spellEnd"/>
      <w:proofErr w:type="gram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за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єдиним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телефонним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номером 103 до ЦЕМД.</w:t>
      </w:r>
    </w:p>
    <w:p w:rsidR="00A71DB5" w:rsidRPr="00A71DB5" w:rsidRDefault="00A71DB5" w:rsidP="00A71D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41" w:name="n42"/>
      <w:bookmarkEnd w:id="41"/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Якщо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в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телекомунікаційній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мережі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оператора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наявні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аналогові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вузли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комутації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що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не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можуть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формувати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та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передавати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інформацію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про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споживача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, шлюз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забезпечує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автоматичне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визначення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номера абонента,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що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виклика</w:t>
      </w:r>
      <w:proofErr w:type="gramStart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є</w:t>
      </w:r>
      <w:proofErr w:type="spellEnd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429"/>
      </w:tblGrid>
      <w:tr w:rsidR="00A71DB5" w:rsidRPr="00A71DB5" w:rsidTr="00A71DB5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DB5" w:rsidRPr="00A71DB5" w:rsidRDefault="00A71DB5" w:rsidP="00A71DB5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42" w:name="n43"/>
            <w:bookmarkEnd w:id="42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Директор Департаменту</w:t>
            </w: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стратегії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розвитку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зв’язку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proofErr w:type="gramStart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Адм</w:t>
            </w:r>
            <w:proofErr w:type="gramEnd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іністрації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Держспецзв’язку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DB5" w:rsidRPr="00A71DB5" w:rsidRDefault="00A71DB5" w:rsidP="00A71DB5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A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О.А. Баранов</w:t>
            </w:r>
          </w:p>
        </w:tc>
      </w:tr>
    </w:tbl>
    <w:p w:rsidR="00A71DB5" w:rsidRPr="00A71DB5" w:rsidRDefault="00A71DB5" w:rsidP="00A71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43" w:name="n62"/>
      <w:bookmarkEnd w:id="43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pict>
          <v:rect id="_x0000_i1026" style="width:0;height:0" o:hralign="center" o:hrstd="t" o:hrnoshade="t" o:hr="t" fillcolor="black" stroked="f"/>
        </w:pict>
      </w:r>
    </w:p>
    <w:p w:rsidR="00A71DB5" w:rsidRPr="00A71DB5" w:rsidRDefault="00A71DB5" w:rsidP="00A71D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44" w:name="n61"/>
      <w:bookmarkEnd w:id="44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405"/>
      </w:tblGrid>
      <w:tr w:rsidR="00A71DB5" w:rsidRPr="00A71DB5" w:rsidTr="00A71DB5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45" w:name="n44"/>
            <w:bookmarkEnd w:id="45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Додаток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</w:t>
            </w: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до Порядку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передачі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викликів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екстреної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медичної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допомоги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за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єдиним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телефонним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номером 103 в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телекомунікаційній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мережі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загального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користування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(пункт 3.1)</w:t>
            </w:r>
          </w:p>
        </w:tc>
      </w:tr>
    </w:tbl>
    <w:p w:rsidR="00A71DB5" w:rsidRPr="00A71DB5" w:rsidRDefault="00A71DB5" w:rsidP="00A71DB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46" w:name="n45"/>
      <w:bookmarkEnd w:id="46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СХЕМА</w:t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передачі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викликі</w:t>
      </w:r>
      <w:proofErr w:type="gram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в</w:t>
      </w:r>
      <w:proofErr w:type="spellEnd"/>
      <w:proofErr w:type="gram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абонентів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фіксованої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ТМЗК до служб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екстреного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виклику</w:t>
      </w:r>
      <w:proofErr w:type="spellEnd"/>
    </w:p>
    <w:p w:rsidR="00A71DB5" w:rsidRPr="00A71DB5" w:rsidRDefault="00A71DB5" w:rsidP="00A71DB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47" w:name="n69"/>
      <w:bookmarkEnd w:id="47"/>
      <w:r w:rsidRPr="00A71DB5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val="ru-RU" w:eastAsia="ru-RU"/>
        </w:rPr>
        <w:lastRenderedPageBreak/>
        <w:drawing>
          <wp:inline distT="0" distB="0" distL="0" distR="0" wp14:anchorId="18B63FD7" wp14:editId="22BBE55D">
            <wp:extent cx="7219950" cy="2626995"/>
            <wp:effectExtent l="0" t="0" r="0" b="1905"/>
            <wp:docPr id="2" name="Рисунок 2" descr="https://zakon.rada.gov.ua/laws/file/imgs/16/p403458n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zakon.rada.gov.ua/laws/file/imgs/16/p403458n6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26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7987"/>
      </w:tblGrid>
      <w:tr w:rsidR="00A71DB5" w:rsidRPr="00A71DB5" w:rsidTr="00A71DB5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48" w:name="n47"/>
            <w:bookmarkEnd w:id="48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</w:t>
            </w: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Примітка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Індекси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1, 2, n, r, m, k, N -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відповідних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комутаційних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вузлі</w:t>
            </w:r>
            <w:proofErr w:type="gram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 мереж.</w:t>
            </w:r>
          </w:p>
        </w:tc>
      </w:tr>
    </w:tbl>
    <w:p w:rsidR="00A71DB5" w:rsidRPr="00A71DB5" w:rsidRDefault="00A71DB5" w:rsidP="00A71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49" w:name="n64"/>
      <w:bookmarkEnd w:id="49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pict>
          <v:rect id="_x0000_i1027" style="width:0;height:0" o:hralign="center" o:hrstd="t" o:hrnoshade="t" o:hr="t" fillcolor="black" stroked="f"/>
        </w:pict>
      </w:r>
    </w:p>
    <w:p w:rsidR="00A71DB5" w:rsidRPr="00A71DB5" w:rsidRDefault="00A71DB5" w:rsidP="00A71D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50" w:name="n63"/>
      <w:bookmarkEnd w:id="50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405"/>
      </w:tblGrid>
      <w:tr w:rsidR="00A71DB5" w:rsidRPr="00A71DB5" w:rsidTr="00A71DB5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51" w:name="n48"/>
            <w:bookmarkEnd w:id="51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Додаток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</w:t>
            </w: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до Порядку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передачі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викликів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екстреної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медичної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допомоги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за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єдиним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телефонним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номером 103 в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телекомунікаційній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мережі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загального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користування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(пункт 3.2)</w:t>
            </w:r>
          </w:p>
        </w:tc>
      </w:tr>
    </w:tbl>
    <w:p w:rsidR="00A71DB5" w:rsidRPr="00A71DB5" w:rsidRDefault="00A71DB5" w:rsidP="00A71DB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52" w:name="n49"/>
      <w:bookmarkEnd w:id="52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СХЕМА</w:t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передачі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викликів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абонентів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фіксованої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ТМЗК до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системи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екстреної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медичної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допомоги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за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єдиним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телефонним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номером 103 на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території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відповідних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адм</w:t>
      </w:r>
      <w:proofErr w:type="gram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іністративно-територіальних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одиниць</w:t>
      </w:r>
      <w:proofErr w:type="spellEnd"/>
    </w:p>
    <w:p w:rsidR="00A71DB5" w:rsidRPr="00A71DB5" w:rsidRDefault="00A71DB5" w:rsidP="00A71DB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53" w:name="n71"/>
      <w:bookmarkEnd w:id="53"/>
      <w:r w:rsidRPr="00A71DB5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val="ru-RU" w:eastAsia="ru-RU"/>
        </w:rPr>
        <w:drawing>
          <wp:inline distT="0" distB="0" distL="0" distR="0" wp14:anchorId="1D5AD47D" wp14:editId="40967FA0">
            <wp:extent cx="6803390" cy="2736215"/>
            <wp:effectExtent l="0" t="0" r="0" b="6985"/>
            <wp:docPr id="3" name="Рисунок 3" descr="https://zakon.rada.gov.ua/laws/file/imgs/16/p403458n7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zakon.rada.gov.ua/laws/file/imgs/16/p403458n71-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390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7951"/>
      </w:tblGrid>
      <w:tr w:rsidR="00A71DB5" w:rsidRPr="00A71DB5" w:rsidTr="00A71DB5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54" w:name="n51"/>
            <w:bookmarkEnd w:id="54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</w:t>
            </w: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Примітка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Індекси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1, 2, n, r, m, k, N -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відповідних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комутаційних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вузлі</w:t>
            </w:r>
            <w:proofErr w:type="gram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 мереж.</w:t>
            </w:r>
          </w:p>
        </w:tc>
      </w:tr>
    </w:tbl>
    <w:p w:rsidR="00A71DB5" w:rsidRPr="00A71DB5" w:rsidRDefault="00A71DB5" w:rsidP="00A71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55" w:name="n66"/>
      <w:bookmarkEnd w:id="55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pict>
          <v:rect id="_x0000_i1028" style="width:0;height:0" o:hralign="center" o:hrstd="t" o:hrnoshade="t" o:hr="t" fillcolor="black" stroked="f"/>
        </w:pict>
      </w:r>
    </w:p>
    <w:p w:rsidR="00A71DB5" w:rsidRPr="00A71DB5" w:rsidRDefault="00A71DB5" w:rsidP="00A71D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56" w:name="n65"/>
      <w:bookmarkEnd w:id="56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405"/>
      </w:tblGrid>
      <w:tr w:rsidR="00A71DB5" w:rsidRPr="00A71DB5" w:rsidTr="00A71DB5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57" w:name="n52"/>
            <w:bookmarkEnd w:id="57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Додаток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</w:t>
            </w: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до Порядку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передачі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викликів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екстреної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медичної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допомоги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за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єдиним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телефонним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номером 103 в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телекомунікаційній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мережі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загального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користування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(пункт 3.3)</w:t>
            </w:r>
          </w:p>
        </w:tc>
      </w:tr>
    </w:tbl>
    <w:p w:rsidR="00A71DB5" w:rsidRPr="00A71DB5" w:rsidRDefault="00A71DB5" w:rsidP="00A71DB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58" w:name="n53"/>
      <w:bookmarkEnd w:id="58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СХЕМА</w:t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передачі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викликів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абонентів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рухомого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(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мобільного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)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зв'язку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до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системи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екстреної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медичної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допомоги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за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єдиним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телефонним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номером 103 на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території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відповідних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адм</w:t>
      </w:r>
      <w:proofErr w:type="gram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іністративно-територіальних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одиниць</w:t>
      </w:r>
      <w:proofErr w:type="spellEnd"/>
    </w:p>
    <w:p w:rsidR="00A71DB5" w:rsidRPr="00A71DB5" w:rsidRDefault="00A71DB5" w:rsidP="00A71DB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59" w:name="n73"/>
      <w:bookmarkEnd w:id="59"/>
      <w:r w:rsidRPr="00A71DB5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val="ru-RU" w:eastAsia="ru-RU"/>
        </w:rPr>
        <w:drawing>
          <wp:inline distT="0" distB="0" distL="0" distR="0" wp14:anchorId="68AAEA26" wp14:editId="7FE5A983">
            <wp:extent cx="5227320" cy="2702560"/>
            <wp:effectExtent l="0" t="0" r="0" b="2540"/>
            <wp:docPr id="4" name="Рисунок 4" descr="https://zakon.rada.gov.ua/laws/file/imgs/16/p403458n7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zakon.rada.gov.ua/laws/file/imgs/16/p403458n73-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DB5" w:rsidRPr="00A71DB5" w:rsidRDefault="00A71DB5" w:rsidP="00A71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60" w:name="n67"/>
      <w:bookmarkEnd w:id="60"/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pict>
          <v:rect id="_x0000_i1029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405"/>
      </w:tblGrid>
      <w:tr w:rsidR="00A71DB5" w:rsidRPr="00A71DB5" w:rsidTr="00A71DB5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61" w:name="n55"/>
            <w:bookmarkEnd w:id="61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Додаток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4</w:t>
            </w: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до Порядку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передачі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викликів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екстреної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медичної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допомоги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за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єдиним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телефонним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номером 103 в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телекомунікаційній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мережі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загального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користування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(пункт 3.4)</w:t>
            </w:r>
          </w:p>
        </w:tc>
      </w:tr>
    </w:tbl>
    <w:p w:rsidR="00A71DB5" w:rsidRPr="00A71DB5" w:rsidRDefault="00A71DB5" w:rsidP="00A71DB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62" w:name="n56"/>
      <w:bookmarkEnd w:id="62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СХЕМА</w:t>
      </w:r>
      <w:r w:rsidRPr="00A71DB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передачі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викликі</w:t>
      </w:r>
      <w:proofErr w:type="gram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в</w:t>
      </w:r>
      <w:proofErr w:type="spellEnd"/>
      <w:proofErr w:type="gram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абонентів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ТМЗК до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телекомунікаційної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мережі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системи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екстреної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медичної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допомоги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за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єдиним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телефонним</w:t>
      </w:r>
      <w:proofErr w:type="spellEnd"/>
      <w:r w:rsidRPr="00A71D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 xml:space="preserve"> номером 103</w:t>
      </w:r>
    </w:p>
    <w:p w:rsidR="00A71DB5" w:rsidRPr="00A71DB5" w:rsidRDefault="00A71DB5" w:rsidP="00A71DB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63" w:name="n75"/>
      <w:bookmarkEnd w:id="63"/>
      <w:r w:rsidRPr="00A71DB5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val="ru-RU" w:eastAsia="ru-RU"/>
        </w:rPr>
        <w:lastRenderedPageBreak/>
        <w:drawing>
          <wp:inline distT="0" distB="0" distL="0" distR="0" wp14:anchorId="28A51481" wp14:editId="601073E6">
            <wp:extent cx="6810375" cy="2722880"/>
            <wp:effectExtent l="0" t="0" r="9525" b="1270"/>
            <wp:docPr id="5" name="Рисунок 5" descr="https://zakon.rada.gov.ua/laws/file/imgs/16/p403458n7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zakon.rada.gov.ua/laws/file/imgs/16/p403458n75-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27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7951"/>
      </w:tblGrid>
      <w:tr w:rsidR="00A71DB5" w:rsidRPr="00A71DB5" w:rsidTr="00A71DB5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64" w:name="n58"/>
            <w:bookmarkEnd w:id="64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</w:t>
            </w:r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Примітка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DB5" w:rsidRPr="00A71DB5" w:rsidRDefault="00A71DB5" w:rsidP="00A71D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Індекси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1, 2, n, r, m, k, N -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відповідних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комутаційних</w:t>
            </w:r>
            <w:proofErr w:type="spell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вузлі</w:t>
            </w:r>
            <w:proofErr w:type="gramStart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A71D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 мереж.</w:t>
            </w:r>
          </w:p>
        </w:tc>
      </w:tr>
    </w:tbl>
    <w:p w:rsidR="00A71DB5" w:rsidRPr="00A71DB5" w:rsidRDefault="00A71DB5" w:rsidP="00A71D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bookmarkStart w:id="65" w:name="_GoBack"/>
      <w:r w:rsidRPr="00A71DB5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pict>
          <v:rect id="_x0000_i1030" style="width:0;height:0" o:hralign="center" o:hrstd="t" o:hrnoshade="t" o:hr="t" fillcolor="black" stroked="f"/>
        </w:pict>
      </w:r>
      <w:bookmarkEnd w:id="65"/>
    </w:p>
    <w:sectPr w:rsidR="00A71DB5" w:rsidRPr="00A7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3200"/>
    <w:multiLevelType w:val="multilevel"/>
    <w:tmpl w:val="E8A0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32"/>
    <w:rsid w:val="00080D32"/>
    <w:rsid w:val="00A71DB5"/>
    <w:rsid w:val="00CA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DB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DB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9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3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72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1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1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3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9017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097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66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1034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7279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7948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2825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2682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6169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1566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8932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14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7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9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139-13" TargetMode="External"/><Relationship Id="rId13" Type="http://schemas.openxmlformats.org/officeDocument/2006/relationships/hyperlink" Target="https://zakon.rada.gov.ua/laws/show/v1198650-07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zakon.rada.gov.ua/laws/show/1280-15" TargetMode="External"/><Relationship Id="rId12" Type="http://schemas.openxmlformats.org/officeDocument/2006/relationships/hyperlink" Target="https://zakon.rada.gov.ua/laws/show/z1002-09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zakon.rada.gov.ua/laws/show/5081-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v1164650-07" TargetMode="External"/><Relationship Id="rId10" Type="http://schemas.openxmlformats.org/officeDocument/2006/relationships/hyperlink" Target="https://zakon.rada.gov.ua/laws/show/1280-15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5081-17" TargetMode="External"/><Relationship Id="rId14" Type="http://schemas.openxmlformats.org/officeDocument/2006/relationships/hyperlink" Target="https://zakon.rada.gov.ua/laws/show/z1252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1905</Words>
  <Characters>10859</Characters>
  <Application>Microsoft Office Word</Application>
  <DocSecurity>0</DocSecurity>
  <Lines>90</Lines>
  <Paragraphs>25</Paragraphs>
  <ScaleCrop>false</ScaleCrop>
  <Company/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2021-11-23T13:34:00Z</dcterms:created>
  <dcterms:modified xsi:type="dcterms:W3CDTF">2021-11-23T13:36:00Z</dcterms:modified>
</cp:coreProperties>
</file>