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925" w:rsidRPr="005E27BA" w:rsidRDefault="00040925" w:rsidP="00040925">
      <w:pPr>
        <w:suppressAutoHyphens/>
        <w:spacing w:line="100" w:lineRule="atLeast"/>
        <w:ind w:left="6521" w:right="141"/>
        <w:rPr>
          <w:color w:val="000000"/>
          <w:lang w:eastAsia="ar-SA"/>
        </w:rPr>
      </w:pPr>
      <w:r w:rsidRPr="005E27BA">
        <w:rPr>
          <w:b/>
          <w:color w:val="000000"/>
          <w:lang w:eastAsia="ar-SA"/>
        </w:rPr>
        <w:t>Додаток</w:t>
      </w:r>
      <w:r w:rsidRPr="005E27BA">
        <w:rPr>
          <w:b/>
        </w:rPr>
        <w:t xml:space="preserve"> </w:t>
      </w:r>
      <w:r>
        <w:rPr>
          <w:b/>
        </w:rPr>
        <w:t xml:space="preserve">4 </w:t>
      </w:r>
    </w:p>
    <w:p w:rsidR="00040925" w:rsidRPr="005E27BA" w:rsidRDefault="00040925" w:rsidP="00040925">
      <w:pPr>
        <w:suppressAutoHyphens/>
        <w:spacing w:line="100" w:lineRule="atLeast"/>
        <w:ind w:left="6521" w:right="141"/>
        <w:rPr>
          <w:b/>
          <w:color w:val="000000"/>
          <w:sz w:val="26"/>
          <w:szCs w:val="26"/>
          <w:lang w:eastAsia="ar-SA"/>
        </w:rPr>
      </w:pPr>
      <w:r w:rsidRPr="005E27BA">
        <w:rPr>
          <w:color w:val="000000"/>
          <w:lang w:eastAsia="ar-SA"/>
        </w:rPr>
        <w:t>до тендерної документації</w:t>
      </w:r>
    </w:p>
    <w:p w:rsidR="00040925" w:rsidRDefault="00040925" w:rsidP="00040925">
      <w:pPr>
        <w:suppressAutoHyphens/>
        <w:spacing w:line="256" w:lineRule="auto"/>
        <w:jc w:val="center"/>
        <w:rPr>
          <w:b/>
          <w:sz w:val="26"/>
          <w:szCs w:val="26"/>
          <w:lang w:eastAsia="ar-SA"/>
        </w:rPr>
      </w:pPr>
    </w:p>
    <w:p w:rsidR="00040925" w:rsidRDefault="00040925" w:rsidP="00040925">
      <w:pPr>
        <w:suppressAutoHyphens/>
        <w:spacing w:line="254" w:lineRule="auto"/>
        <w:jc w:val="center"/>
        <w:rPr>
          <w:rFonts w:ascii="Calibri" w:hAnsi="Calibri"/>
          <w:sz w:val="26"/>
          <w:szCs w:val="26"/>
          <w:lang w:eastAsia="ar-SA"/>
        </w:rPr>
      </w:pPr>
      <w:r>
        <w:rPr>
          <w:b/>
          <w:sz w:val="26"/>
          <w:szCs w:val="26"/>
          <w:lang w:eastAsia="ar-SA"/>
        </w:rPr>
        <w:t xml:space="preserve">Перелік документів та інформації  для підтвердження відповідності </w:t>
      </w:r>
      <w:r>
        <w:rPr>
          <w:b/>
          <w:sz w:val="28"/>
          <w:szCs w:val="26"/>
          <w:lang w:eastAsia="ar-SA"/>
        </w:rPr>
        <w:t>ПЕРЕМОЖЦЯ</w:t>
      </w:r>
      <w:r>
        <w:rPr>
          <w:b/>
          <w:sz w:val="26"/>
          <w:szCs w:val="26"/>
          <w:lang w:eastAsia="ar-SA"/>
        </w:rPr>
        <w:t xml:space="preserve"> вимогам, визначеним </w:t>
      </w:r>
      <w:r>
        <w:rPr>
          <w:b/>
          <w:sz w:val="26"/>
          <w:szCs w:val="26"/>
        </w:rPr>
        <w:t>у пункті 47 Особливостей:</w:t>
      </w:r>
    </w:p>
    <w:p w:rsidR="00040925" w:rsidRDefault="00040925" w:rsidP="00040925">
      <w:pPr>
        <w:suppressAutoHyphens/>
        <w:spacing w:line="254" w:lineRule="auto"/>
        <w:ind w:left="426"/>
        <w:jc w:val="both"/>
        <w:rPr>
          <w:lang w:eastAsia="ar-SA"/>
        </w:rPr>
      </w:pPr>
    </w:p>
    <w:p w:rsidR="00040925" w:rsidRDefault="00040925" w:rsidP="00040925">
      <w:pPr>
        <w:widowControl w:val="0"/>
        <w:spacing w:before="120"/>
        <w:ind w:firstLine="567"/>
        <w:jc w:val="both"/>
        <w:rPr>
          <w:color w:val="FF0000"/>
          <w:sz w:val="20"/>
          <w:szCs w:val="20"/>
        </w:rPr>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r>
        <w:rPr>
          <w:color w:val="00B050"/>
          <w:sz w:val="20"/>
          <w:szCs w:val="20"/>
        </w:rPr>
        <w:t xml:space="preserve">. </w:t>
      </w:r>
    </w:p>
    <w:p w:rsidR="00040925" w:rsidRDefault="00040925" w:rsidP="00040925">
      <w:pPr>
        <w:ind w:firstLine="567"/>
        <w:jc w:val="both"/>
        <w:rPr>
          <w:color w:val="000000"/>
          <w:shd w:val="solid" w:color="FFFFFF" w:fill="FFFFFF"/>
          <w:lang w:eastAsia="en-US"/>
        </w:rPr>
      </w:pPr>
      <w:r>
        <w:rPr>
          <w:color w:val="000000"/>
          <w:shd w:val="solid" w:color="FFFFFF" w:fill="FFFFFF"/>
          <w:lang w:eastAsia="en-US"/>
        </w:rPr>
        <w:t xml:space="preserve">Замовник не вимагає документального підтвердження публічної інформації, </w:t>
      </w:r>
      <w:r>
        <w:rPr>
          <w:color w:val="000000"/>
          <w:shd w:val="solid" w:color="FFFFFF" w:fill="FFFFFF"/>
          <w:lang w:eastAsia="en-US"/>
        </w:rPr>
        <w:br/>
        <w:t xml:space="preserve">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Pr>
          <w:color w:val="000000"/>
          <w:shd w:val="solid" w:color="FFFFFF" w:fill="FFFFFF"/>
          <w:lang w:eastAsia="en-US"/>
        </w:rPr>
        <w:br/>
        <w:t>про проведення відкритих торгів.</w:t>
      </w:r>
    </w:p>
    <w:p w:rsidR="00040925" w:rsidRDefault="00040925" w:rsidP="00040925">
      <w:pPr>
        <w:ind w:firstLine="567"/>
        <w:jc w:val="both"/>
        <w:rPr>
          <w:color w:val="000000"/>
          <w:shd w:val="solid" w:color="FFFFFF" w:fill="FFFFFF"/>
          <w:lang w:eastAsia="en-US"/>
        </w:rPr>
      </w:pPr>
    </w:p>
    <w:p w:rsidR="00040925" w:rsidRDefault="00040925" w:rsidP="00040925">
      <w:pPr>
        <w:rPr>
          <w:b/>
          <w:color w:val="000000"/>
        </w:rPr>
      </w:pPr>
      <w:r>
        <w:rPr>
          <w:b/>
          <w:color w:val="000000"/>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040925" w:rsidRPr="00330D93" w:rsidTr="00DB3C1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w:t>
            </w:r>
          </w:p>
          <w:p w:rsidR="00040925" w:rsidRDefault="00040925" w:rsidP="00DB3C16">
            <w:pPr>
              <w:spacing w:line="256" w:lineRule="auto"/>
              <w:ind w:left="100"/>
              <w:jc w:val="center"/>
            </w:pPr>
            <w:r>
              <w:rPr>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25" w:rsidRDefault="00040925" w:rsidP="00DB3C16">
            <w:pPr>
              <w:spacing w:line="256" w:lineRule="auto"/>
              <w:ind w:left="100"/>
              <w:jc w:val="center"/>
            </w:pPr>
            <w:r>
              <w:rPr>
                <w:b/>
              </w:rPr>
              <w:t xml:space="preserve">Вимоги </w:t>
            </w:r>
            <w:r>
              <w:t>згідно п. 47 Особливостей*</w:t>
            </w:r>
          </w:p>
          <w:p w:rsidR="00040925" w:rsidRDefault="00040925" w:rsidP="00DB3C16">
            <w:pPr>
              <w:spacing w:line="256" w:lineRule="auto"/>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040925" w:rsidRPr="00330D93" w:rsidTr="00DB3C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widowControl w:val="0"/>
              <w:spacing w:before="120" w:line="256" w:lineRule="auto"/>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0925" w:rsidRDefault="00040925" w:rsidP="00DB3C16">
            <w:pPr>
              <w:spacing w:line="256" w:lineRule="auto"/>
              <w:jc w:val="both"/>
              <w:rPr>
                <w:b/>
              </w:rPr>
            </w:pPr>
            <w:r>
              <w:rPr>
                <w:b/>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right="140"/>
              <w:jc w:val="both"/>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0925" w:rsidRPr="00330D93" w:rsidTr="00DB3C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widowControl w:val="0"/>
              <w:spacing w:before="120" w:line="256" w:lineRule="auto"/>
              <w:jc w:val="both"/>
            </w:pPr>
            <w: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40925" w:rsidRDefault="00040925" w:rsidP="00DB3C16">
            <w:pPr>
              <w:spacing w:line="256" w:lineRule="auto"/>
              <w:ind w:right="140"/>
              <w:jc w:val="both"/>
            </w:pPr>
            <w:r>
              <w:t>(</w:t>
            </w:r>
            <w:r>
              <w:rPr>
                <w:b/>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40925" w:rsidRDefault="00040925" w:rsidP="00DB3C16">
            <w:pPr>
              <w:spacing w:line="256" w:lineRule="auto"/>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Pr>
                <w:b/>
              </w:rPr>
              <w:lastRenderedPageBreak/>
              <w:t xml:space="preserve">законодавством України щодо керівника учасника процедури закупівлі, яка підписала тендерну пропозицію. </w:t>
            </w:r>
          </w:p>
          <w:p w:rsidR="00040925" w:rsidRDefault="00040925" w:rsidP="00DB3C16">
            <w:pPr>
              <w:spacing w:line="256" w:lineRule="auto"/>
              <w:jc w:val="both"/>
              <w:rPr>
                <w:b/>
              </w:rPr>
            </w:pPr>
          </w:p>
          <w:p w:rsidR="00040925" w:rsidRDefault="00040925" w:rsidP="00DB3C16">
            <w:pPr>
              <w:spacing w:line="256" w:lineRule="auto"/>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040925" w:rsidRPr="00330D93" w:rsidTr="00DB3C1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widowControl w:val="0"/>
              <w:spacing w:before="120" w:line="256" w:lineRule="auto"/>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0925" w:rsidRDefault="00040925" w:rsidP="00DB3C16">
            <w:pPr>
              <w:spacing w:line="256" w:lineRule="auto"/>
              <w:jc w:val="both"/>
              <w:rPr>
                <w:b/>
              </w:rPr>
            </w:pPr>
            <w:r>
              <w:rPr>
                <w:b/>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040925" w:rsidRDefault="00040925" w:rsidP="00DB3C16">
            <w:pPr>
              <w:spacing w:line="256" w:lineRule="auto"/>
            </w:pPr>
          </w:p>
        </w:tc>
      </w:tr>
      <w:tr w:rsidR="00040925" w:rsidRPr="00330D93" w:rsidTr="00DB3C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rPr>
                <w:b/>
              </w:rPr>
            </w:pPr>
            <w:r>
              <w:rPr>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0925" w:rsidRDefault="00040925" w:rsidP="00DB3C16">
            <w:pPr>
              <w:spacing w:line="256" w:lineRule="auto"/>
              <w:jc w:val="both"/>
              <w:rPr>
                <w:b/>
              </w:rPr>
            </w:pPr>
            <w:r>
              <w:rPr>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after="348" w:line="256" w:lineRule="auto"/>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0925" w:rsidRDefault="00040925" w:rsidP="00040925">
      <w:pPr>
        <w:rPr>
          <w:b/>
        </w:rPr>
      </w:pPr>
    </w:p>
    <w:p w:rsidR="00040925" w:rsidRDefault="00040925" w:rsidP="00040925">
      <w:pPr>
        <w:spacing w:before="240"/>
        <w:jc w:val="center"/>
      </w:pPr>
      <w:r>
        <w:rPr>
          <w:b/>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040925" w:rsidRPr="00330D93" w:rsidTr="00DB3C1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w:t>
            </w:r>
          </w:p>
          <w:p w:rsidR="00040925" w:rsidRDefault="00040925" w:rsidP="00DB3C16">
            <w:pPr>
              <w:spacing w:line="256" w:lineRule="auto"/>
              <w:ind w:left="100"/>
              <w:jc w:val="center"/>
            </w:pPr>
            <w:r>
              <w:rPr>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0925" w:rsidRDefault="00040925" w:rsidP="00DB3C16">
            <w:pPr>
              <w:spacing w:line="256" w:lineRule="auto"/>
              <w:ind w:left="100"/>
              <w:jc w:val="center"/>
            </w:pPr>
            <w:r>
              <w:rPr>
                <w:b/>
              </w:rPr>
              <w:t xml:space="preserve">Вимоги </w:t>
            </w:r>
            <w:r>
              <w:t>згідно пункту 47 Особливостей*</w:t>
            </w:r>
          </w:p>
          <w:p w:rsidR="00040925" w:rsidRDefault="00040925" w:rsidP="00DB3C16">
            <w:pPr>
              <w:spacing w:line="256" w:lineRule="auto"/>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040925" w:rsidRPr="00330D93" w:rsidTr="00DB3C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pPr>
            <w:r>
              <w:rPr>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widowControl w:val="0"/>
              <w:spacing w:before="120" w:line="256" w:lineRule="auto"/>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40925" w:rsidRDefault="00040925" w:rsidP="00DB3C16">
            <w:pPr>
              <w:spacing w:line="256" w:lineRule="auto"/>
              <w:jc w:val="both"/>
              <w:rPr>
                <w:b/>
              </w:rPr>
            </w:pPr>
            <w:r>
              <w:rPr>
                <w:b/>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right="140"/>
              <w:jc w:val="both"/>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w:t>
            </w:r>
            <w:r>
              <w:rPr>
                <w:b/>
              </w:rPr>
              <w:lastRenderedPageBreak/>
              <w:t xml:space="preserve">функціональної можливості перевірки інформації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40925" w:rsidRPr="00330D93" w:rsidTr="00DB3C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rPr>
                <w:sz w:val="20"/>
                <w:szCs w:val="20"/>
              </w:rPr>
            </w:pPr>
            <w:r>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widowControl w:val="0"/>
              <w:spacing w:before="120" w:line="256" w:lineRule="auto"/>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40925" w:rsidRDefault="00040925" w:rsidP="00DB3C16">
            <w:pPr>
              <w:widowControl w:val="0"/>
              <w:spacing w:before="120" w:line="256" w:lineRule="auto"/>
              <w:jc w:val="both"/>
              <w:rPr>
                <w:b/>
              </w:rPr>
            </w:pPr>
            <w:r>
              <w:rPr>
                <w:b/>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040925" w:rsidRDefault="00040925" w:rsidP="00DB3C16">
            <w:pPr>
              <w:spacing w:line="256" w:lineRule="auto"/>
              <w:jc w:val="both"/>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40925" w:rsidRDefault="00040925" w:rsidP="00DB3C16">
            <w:pPr>
              <w:spacing w:line="256" w:lineRule="auto"/>
              <w:jc w:val="both"/>
              <w:rPr>
                <w:b/>
              </w:rPr>
            </w:pPr>
          </w:p>
          <w:p w:rsidR="00040925" w:rsidRDefault="00040925" w:rsidP="00DB3C16">
            <w:pPr>
              <w:spacing w:line="256" w:lineRule="auto"/>
              <w:jc w:val="both"/>
            </w:pPr>
            <w:r>
              <w:rPr>
                <w:b/>
              </w:rPr>
              <w:t xml:space="preserve">Документ повинен бути не більше </w:t>
            </w:r>
            <w:proofErr w:type="spellStart"/>
            <w:r>
              <w:rPr>
                <w:b/>
              </w:rPr>
              <w:t>тридцятиденної</w:t>
            </w:r>
            <w:proofErr w:type="spellEnd"/>
            <w:r>
              <w:rPr>
                <w:b/>
              </w:rPr>
              <w:t xml:space="preserve"> давнини від дати подання документа.</w:t>
            </w:r>
            <w:r>
              <w:t> </w:t>
            </w:r>
          </w:p>
        </w:tc>
      </w:tr>
      <w:tr w:rsidR="00040925" w:rsidRPr="00330D93" w:rsidTr="00DB3C1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rPr>
                <w:sz w:val="20"/>
                <w:szCs w:val="20"/>
              </w:rPr>
            </w:pPr>
            <w:r>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widowControl w:val="0"/>
              <w:spacing w:before="120" w:line="256" w:lineRule="auto"/>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0925" w:rsidRDefault="00040925" w:rsidP="00DB3C16">
            <w:pPr>
              <w:spacing w:line="256" w:lineRule="auto"/>
              <w:jc w:val="both"/>
            </w:pPr>
            <w:r>
              <w:rPr>
                <w:b/>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040925" w:rsidRDefault="00040925" w:rsidP="00DB3C16">
            <w:pPr>
              <w:spacing w:line="256" w:lineRule="auto"/>
            </w:pPr>
          </w:p>
        </w:tc>
      </w:tr>
      <w:tr w:rsidR="00040925" w:rsidRPr="00330D93" w:rsidTr="00DB3C1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ind w:left="100"/>
              <w:jc w:val="center"/>
              <w:rPr>
                <w:b/>
                <w:sz w:val="20"/>
                <w:szCs w:val="20"/>
              </w:rPr>
            </w:pPr>
            <w:r>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line="256" w:lineRule="auto"/>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40925" w:rsidRDefault="00040925" w:rsidP="00DB3C16">
            <w:pPr>
              <w:spacing w:line="256" w:lineRule="auto"/>
              <w:jc w:val="both"/>
              <w:rPr>
                <w:b/>
                <w:highlight w:val="yellow"/>
              </w:rPr>
            </w:pPr>
            <w:r>
              <w:rPr>
                <w:b/>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0925" w:rsidRDefault="00040925" w:rsidP="00DB3C16">
            <w:pPr>
              <w:spacing w:after="348" w:line="256" w:lineRule="auto"/>
              <w:jc w:val="both"/>
              <w:rPr>
                <w:highlight w:val="yellow"/>
              </w:rPr>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40925" w:rsidRDefault="00040925" w:rsidP="00040925">
      <w:pPr>
        <w:shd w:val="clear" w:color="auto" w:fill="FFFFFF"/>
        <w:rPr>
          <w:sz w:val="20"/>
          <w:szCs w:val="20"/>
        </w:rPr>
      </w:pPr>
    </w:p>
    <w:p w:rsidR="00040925" w:rsidRDefault="00040925" w:rsidP="00040925">
      <w:pPr>
        <w:ind w:firstLine="567"/>
        <w:jc w:val="both"/>
        <w:rPr>
          <w:color w:val="000000"/>
          <w:shd w:val="solid" w:color="FFFFFF" w:fill="FFFFFF"/>
        </w:rPr>
      </w:pPr>
    </w:p>
    <w:p w:rsidR="00F65CD9" w:rsidRDefault="00F65CD9">
      <w:bookmarkStart w:id="0" w:name="_GoBack"/>
      <w:bookmarkEnd w:id="0"/>
    </w:p>
    <w:sectPr w:rsidR="00F65C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925"/>
    <w:rsid w:val="00040925"/>
    <w:rsid w:val="00F65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9C1188-C226-4257-8A91-C64A2FF9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5026</Words>
  <Characters>2866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2023-05-25T13:31:00Z</dcterms:created>
  <dcterms:modified xsi:type="dcterms:W3CDTF">2023-05-25T13:32:00Z</dcterms:modified>
</cp:coreProperties>
</file>